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112</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413074</w:t>
      </w:r>
    </w:p>
    <w:p>
      <w:pPr>
        <w:tabs>
          <w:tab w:val="left" w:pos="420"/>
          <w:tab w:val="left" w:pos="840"/>
          <w:tab w:val="left" w:pos="1260"/>
          <w:tab w:val="left" w:pos="1680"/>
          <w:tab w:val="left" w:pos="2100"/>
          <w:tab w:val="left" w:pos="2520"/>
        </w:tabs>
        <w:jc w:val="both"/>
        <w:rPr>
          <w:rFonts w:ascii="Arial" w:hAnsi="Arial" w:eastAsia="宋体" w:cs="Arial"/>
          <w:b/>
          <w:sz w:val="24"/>
          <w:szCs w:val="24"/>
          <w:lang w:eastAsia="zh-CN"/>
        </w:rPr>
      </w:pPr>
      <w:r>
        <w:rPr>
          <w:rFonts w:ascii="Arial" w:hAnsi="Arial" w:eastAsia="宋体" w:cs="Arial"/>
          <w:b/>
          <w:sz w:val="24"/>
          <w:szCs w:val="24"/>
          <w:lang w:eastAsia="zh-CN"/>
        </w:rPr>
        <w:t>Maastricht</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Netherlands, 19th – 23rd August, 2024</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maintenance of RRM core part for simultaneous DL reception from different directions</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5.13.1</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In last RAN4 meeting, RAN4 has spread extensive discussion around the simultaneous multi-panel/multi-beam reception and some agreements were achieved in [1], we summarized the agreements on core part as below. </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
              <w:numPr>
                <w:ilvl w:val="0"/>
                <w:numId w:val="0"/>
              </w:numPr>
              <w:ind w:leftChars="0"/>
              <w:rPr>
                <w:sz w:val="28"/>
                <w:szCs w:val="28"/>
                <w:lang w:eastAsia="zh-CN"/>
              </w:rPr>
            </w:pPr>
            <w:r>
              <w:rPr>
                <w:sz w:val="28"/>
                <w:szCs w:val="28"/>
                <w:highlight w:val="green"/>
              </w:rPr>
              <w:t>Agreements</w:t>
            </w:r>
            <w:r>
              <w:rPr>
                <w:sz w:val="28"/>
                <w:szCs w:val="28"/>
              </w:rPr>
              <w:t xml:space="preserve"> for core maintenance</w:t>
            </w:r>
          </w:p>
          <w:p>
            <w:pPr>
              <w:bidi w:val="0"/>
              <w:rPr>
                <w:u w:val="single"/>
                <w:lang w:eastAsia="ko-KR"/>
              </w:rPr>
            </w:pPr>
            <w:r>
              <w:rPr>
                <w:u w:val="single"/>
                <w:lang w:eastAsia="ko-KR"/>
              </w:rPr>
              <w:t>Issue 1-3-3: The scheduling restriction and measurement restriction relaxation for CBD</w:t>
            </w:r>
          </w:p>
          <w:p>
            <w:pPr>
              <w:bidi w:val="0"/>
              <w:rPr>
                <w:rFonts w:hint="default"/>
                <w:lang w:val="en-US" w:eastAsia="zh-CN"/>
              </w:rPr>
            </w:pPr>
            <w:r>
              <w:rPr>
                <w:rFonts w:hint="eastAsia"/>
                <w:highlight w:val="green"/>
                <w:lang w:val="en-US" w:eastAsia="zh-CN"/>
              </w:rPr>
              <w:t>Agreements</w:t>
            </w:r>
            <w:r>
              <w:rPr>
                <w:rFonts w:hint="eastAsia"/>
                <w:lang w:val="en-US" w:eastAsia="zh-CN"/>
              </w:rPr>
              <w:t>:</w:t>
            </w:r>
          </w:p>
          <w:p>
            <w:pPr>
              <w:pStyle w:val="28"/>
              <w:keepNext w:val="0"/>
              <w:keepLines w:val="0"/>
              <w:pageBreakBefore w:val="0"/>
              <w:widowControl w:val="0"/>
              <w:numPr>
                <w:ilvl w:val="0"/>
                <w:numId w:val="3"/>
              </w:numPr>
              <w:kinsoku/>
              <w:wordWrap/>
              <w:overflowPunct/>
              <w:topLinePunct w:val="0"/>
              <w:autoSpaceDE/>
              <w:autoSpaceDN/>
              <w:bidi w:val="0"/>
              <w:adjustRightInd/>
              <w:snapToGrid/>
              <w:ind w:left="360" w:leftChars="180" w:firstLineChars="0"/>
              <w:textAlignment w:val="auto"/>
              <w:rPr>
                <w:rFonts w:eastAsia="宋体"/>
                <w:color w:val="auto"/>
                <w:szCs w:val="24"/>
                <w:lang w:eastAsia="zh-CN"/>
              </w:rPr>
            </w:pPr>
            <w:r>
              <w:rPr>
                <w:rFonts w:eastAsia="宋体"/>
                <w:color w:val="auto"/>
                <w:szCs w:val="24"/>
                <w:lang w:eastAsia="zh-CN"/>
              </w:rPr>
              <w:t>Remove CBD from the applicable resources for scheduling and measurement restriction relaxation.</w:t>
            </w:r>
          </w:p>
          <w:p>
            <w:pPr>
              <w:pStyle w:val="28"/>
              <w:keepNext w:val="0"/>
              <w:keepLines w:val="0"/>
              <w:pageBreakBefore w:val="0"/>
              <w:widowControl w:val="0"/>
              <w:numPr>
                <w:ilvl w:val="0"/>
                <w:numId w:val="3"/>
              </w:numPr>
              <w:kinsoku/>
              <w:wordWrap/>
              <w:overflowPunct/>
              <w:topLinePunct w:val="0"/>
              <w:autoSpaceDE/>
              <w:autoSpaceDN/>
              <w:bidi w:val="0"/>
              <w:adjustRightInd/>
              <w:snapToGrid/>
              <w:ind w:left="360" w:leftChars="180" w:firstLineChars="0"/>
              <w:textAlignment w:val="auto"/>
              <w:rPr>
                <w:rFonts w:hint="default" w:ascii="Times New Roman" w:hAnsi="Times New Roman" w:eastAsia="Times New Roman" w:cs="Times New Roman"/>
                <w:bCs/>
                <w:kern w:val="0"/>
                <w:sz w:val="20"/>
                <w:szCs w:val="24"/>
                <w:lang w:val="en-US" w:eastAsia="zh-CN" w:bidi="ar-SA"/>
              </w:rPr>
            </w:pPr>
            <w:r>
              <w:rPr>
                <w:rFonts w:eastAsia="宋体"/>
                <w:color w:val="auto"/>
                <w:szCs w:val="24"/>
                <w:lang w:eastAsia="zh-CN"/>
              </w:rPr>
              <w:t>Remove scheduling and measurement restriction relaxation requirements for CBD.</w:t>
            </w:r>
          </w:p>
        </w:tc>
      </w:tr>
    </w:tbl>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Still some remaining issues were suspending. In this document, we provide our views on these remaining issues.</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3"/>
        <w:bidi w:val="0"/>
        <w:rPr>
          <w:rFonts w:hint="eastAsia" w:ascii="Helvetica" w:hAnsi="Helvetica" w:eastAsia="宋体" w:cs="Times New Roman"/>
          <w:b/>
          <w:bCs/>
          <w:iCs w:val="0"/>
          <w:color w:val="auto"/>
          <w:kern w:val="32"/>
          <w:sz w:val="24"/>
          <w:szCs w:val="24"/>
          <w:lang w:val="en-US" w:eastAsia="zh-CN" w:bidi="ar-SA"/>
        </w:rPr>
      </w:pPr>
      <w:r>
        <w:rPr>
          <w:rFonts w:hint="eastAsia" w:ascii="Helvetica" w:hAnsi="Helvetica" w:eastAsia="宋体" w:cs="Times New Roman"/>
          <w:b/>
          <w:bCs/>
          <w:iCs w:val="0"/>
          <w:color w:val="auto"/>
          <w:kern w:val="32"/>
          <w:sz w:val="24"/>
          <w:szCs w:val="24"/>
          <w:lang w:val="en-US" w:eastAsia="zh-CN" w:bidi="ar-SA"/>
        </w:rPr>
        <w:t>2.1 General aspects</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During last meeting, we had good progress on the definition of </w:t>
      </w:r>
      <w:r>
        <w:rPr>
          <w:rFonts w:hint="default" w:eastAsia="宋体"/>
          <w:color w:val="auto"/>
          <w:sz w:val="20"/>
          <w:szCs w:val="20"/>
          <w:lang w:val="en-US" w:eastAsia="zh-CN"/>
        </w:rPr>
        <w:t>“</w:t>
      </w:r>
      <w:r>
        <w:rPr>
          <w:rFonts w:hint="eastAsia" w:eastAsia="宋体"/>
          <w:color w:val="auto"/>
          <w:sz w:val="20"/>
          <w:szCs w:val="20"/>
          <w:lang w:val="en-US" w:eastAsia="zh-CN"/>
        </w:rPr>
        <w:t>multi-Rx operation</w:t>
      </w:r>
      <w:r>
        <w:rPr>
          <w:rFonts w:hint="default" w:eastAsia="宋体"/>
          <w:color w:val="auto"/>
          <w:sz w:val="20"/>
          <w:szCs w:val="20"/>
          <w:lang w:val="en-US" w:eastAsia="zh-CN"/>
        </w:rPr>
        <w:t>”</w:t>
      </w:r>
      <w:r>
        <w:rPr>
          <w:rFonts w:hint="eastAsia" w:eastAsia="宋体"/>
          <w:color w:val="auto"/>
          <w:sz w:val="20"/>
          <w:szCs w:val="20"/>
          <w:lang w:val="en-US" w:eastAsia="zh-CN"/>
        </w:rPr>
        <w:t xml:space="preserve">, since such condition implies in three applications: fast beam sweeping, scheduling restriction and measurement restriction, so we discussed this condition for the three applications one by one. For fast beam sweeping, it is identified that once UE is configured with GBBR, then UE is supposed in multi-Rx operation, fast beam sweeping can be applicable. For scheduling restriction, since dual TCI states indication and simultaneous multiple reception happen, so of course the UE is in multi-Rx operation, so no need to add any additional definition of </w:t>
      </w:r>
      <w:r>
        <w:rPr>
          <w:rFonts w:hint="default" w:eastAsia="宋体"/>
          <w:color w:val="auto"/>
          <w:sz w:val="20"/>
          <w:szCs w:val="20"/>
          <w:lang w:val="en-US" w:eastAsia="zh-CN"/>
        </w:rPr>
        <w:t>“</w:t>
      </w:r>
      <w:r>
        <w:rPr>
          <w:rFonts w:hint="eastAsia" w:eastAsia="宋体"/>
          <w:color w:val="auto"/>
          <w:sz w:val="20"/>
          <w:szCs w:val="20"/>
          <w:lang w:val="en-US" w:eastAsia="zh-CN"/>
        </w:rPr>
        <w:t>multi-Rx operation</w:t>
      </w:r>
      <w:r>
        <w:rPr>
          <w:rFonts w:hint="default" w:eastAsia="宋体"/>
          <w:color w:val="auto"/>
          <w:sz w:val="20"/>
          <w:szCs w:val="20"/>
          <w:lang w:val="en-US" w:eastAsia="zh-CN"/>
        </w:rPr>
        <w:t>”</w:t>
      </w:r>
      <w:r>
        <w:rPr>
          <w:rFonts w:hint="eastAsia" w:eastAsia="宋体"/>
          <w:color w:val="auto"/>
          <w:sz w:val="20"/>
          <w:szCs w:val="20"/>
          <w:lang w:val="en-US" w:eastAsia="zh-CN"/>
        </w:rPr>
        <w:t xml:space="preserve">. For measurement retriction, according the latest draft big CR, one of the relaxation condition is </w:t>
      </w:r>
      <w:r>
        <w:rPr>
          <w:rFonts w:hint="default" w:eastAsia="宋体"/>
          <w:color w:val="auto"/>
          <w:sz w:val="20"/>
          <w:szCs w:val="20"/>
          <w:lang w:val="en-US" w:eastAsia="zh-CN"/>
        </w:rPr>
        <w:t>“</w:t>
      </w:r>
      <w:r>
        <w:rPr>
          <w:rFonts w:hint="eastAsia" w:eastAsia="宋体"/>
          <w:color w:val="auto"/>
          <w:sz w:val="20"/>
          <w:szCs w:val="20"/>
          <w:lang w:val="en-US" w:eastAsia="zh-CN"/>
        </w:rPr>
        <w:t>Resources of the active TCI states for two PDSCHs have been reported as a resource group in Rel-17 group-based RSRP report</w:t>
      </w:r>
      <w:r>
        <w:rPr>
          <w:rFonts w:hint="default" w:eastAsia="宋体"/>
          <w:color w:val="auto"/>
          <w:sz w:val="20"/>
          <w:szCs w:val="20"/>
          <w:lang w:val="en-US" w:eastAsia="zh-CN"/>
        </w:rPr>
        <w:t>”</w:t>
      </w:r>
      <w:r>
        <w:rPr>
          <w:rFonts w:hint="eastAsia" w:eastAsia="宋体"/>
          <w:color w:val="auto"/>
          <w:sz w:val="20"/>
          <w:szCs w:val="20"/>
          <w:lang w:val="en-US" w:eastAsia="zh-CN"/>
        </w:rPr>
        <w:t xml:space="preserve">, so to our understanding, in fact the condition of </w:t>
      </w:r>
      <w:r>
        <w:rPr>
          <w:rFonts w:hint="default" w:eastAsia="宋体"/>
          <w:color w:val="auto"/>
          <w:sz w:val="20"/>
          <w:szCs w:val="20"/>
          <w:lang w:val="en-US" w:eastAsia="zh-CN"/>
        </w:rPr>
        <w:t>“</w:t>
      </w:r>
      <w:r>
        <w:rPr>
          <w:rFonts w:hint="eastAsia" w:eastAsia="宋体"/>
          <w:color w:val="auto"/>
          <w:sz w:val="20"/>
          <w:szCs w:val="20"/>
          <w:lang w:val="en-US" w:eastAsia="zh-CN"/>
        </w:rPr>
        <w:t>multi-Rx operation</w:t>
      </w:r>
      <w:r>
        <w:rPr>
          <w:rFonts w:hint="default" w:eastAsia="宋体"/>
          <w:color w:val="auto"/>
          <w:sz w:val="20"/>
          <w:szCs w:val="20"/>
          <w:lang w:val="en-US" w:eastAsia="zh-CN"/>
        </w:rPr>
        <w:t>”</w:t>
      </w:r>
      <w:r>
        <w:rPr>
          <w:rFonts w:hint="eastAsia" w:eastAsia="宋体"/>
          <w:color w:val="auto"/>
          <w:sz w:val="20"/>
          <w:szCs w:val="20"/>
          <w:lang w:val="en-US" w:eastAsia="zh-CN"/>
        </w:rPr>
        <w:t xml:space="preserve"> has been involved, so no need to mention any thing such as </w:t>
      </w:r>
      <w:r>
        <w:rPr>
          <w:rFonts w:hint="default" w:eastAsia="宋体"/>
          <w:color w:val="auto"/>
          <w:sz w:val="20"/>
          <w:szCs w:val="20"/>
          <w:lang w:val="en-US" w:eastAsia="zh-CN"/>
        </w:rPr>
        <w:t>“</w:t>
      </w:r>
      <w:r>
        <w:rPr>
          <w:rFonts w:hint="eastAsia" w:eastAsia="宋体"/>
          <w:color w:val="auto"/>
          <w:sz w:val="20"/>
          <w:szCs w:val="20"/>
          <w:lang w:val="en-US" w:eastAsia="zh-CN"/>
        </w:rPr>
        <w:t>UE is multi-Rx operation</w:t>
      </w:r>
      <w:r>
        <w:rPr>
          <w:rFonts w:hint="default" w:eastAsia="宋体"/>
          <w:color w:val="auto"/>
          <w:sz w:val="20"/>
          <w:szCs w:val="20"/>
          <w:lang w:val="en-US" w:eastAsia="zh-CN"/>
        </w:rPr>
        <w:t>”</w:t>
      </w:r>
      <w:r>
        <w:rPr>
          <w:rFonts w:hint="eastAsia" w:eastAsia="宋体"/>
          <w:color w:val="auto"/>
          <w:sz w:val="20"/>
          <w:szCs w:val="20"/>
          <w:lang w:val="en-US" w:eastAsia="zh-CN"/>
        </w:rPr>
        <w:t>.</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1: For the condition of measurement restriction, similar as the condition of scheduling restriction, no need to mention </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UE is multi-Rx operation</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 xml:space="preserve"> in the spec.</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p>
    <w:p>
      <w:pPr>
        <w:pStyle w:val="3"/>
        <w:bidi w:val="0"/>
        <w:rPr>
          <w:rFonts w:hint="eastAsia" w:ascii="Helvetica" w:hAnsi="Helvetica" w:eastAsia="宋体" w:cs="Times New Roman"/>
          <w:b/>
          <w:bCs/>
          <w:iCs w:val="0"/>
          <w:color w:val="auto"/>
          <w:kern w:val="32"/>
          <w:sz w:val="24"/>
          <w:szCs w:val="24"/>
          <w:lang w:val="en-US" w:eastAsia="zh-CN" w:bidi="ar-SA"/>
        </w:rPr>
      </w:pPr>
      <w:r>
        <w:rPr>
          <w:rFonts w:hint="eastAsia" w:ascii="Helvetica" w:hAnsi="Helvetica" w:eastAsia="宋体" w:cs="Times New Roman"/>
          <w:b/>
          <w:bCs/>
          <w:iCs w:val="0"/>
          <w:color w:val="auto"/>
          <w:kern w:val="32"/>
          <w:sz w:val="24"/>
          <w:szCs w:val="24"/>
          <w:lang w:val="en-US" w:eastAsia="zh-CN" w:bidi="ar-SA"/>
        </w:rPr>
        <w:t>2.</w:t>
      </w:r>
      <w:r>
        <w:rPr>
          <w:rFonts w:hint="eastAsia" w:eastAsia="宋体" w:cs="Times New Roman"/>
          <w:b/>
          <w:bCs/>
          <w:iCs w:val="0"/>
          <w:color w:val="auto"/>
          <w:kern w:val="32"/>
          <w:sz w:val="24"/>
          <w:szCs w:val="24"/>
          <w:lang w:val="en-US" w:eastAsia="zh-CN" w:bidi="ar-SA"/>
        </w:rPr>
        <w:t>2</w:t>
      </w:r>
      <w:r>
        <w:rPr>
          <w:rFonts w:hint="eastAsia" w:ascii="Helvetica" w:hAnsi="Helvetica" w:eastAsia="宋体" w:cs="Times New Roman"/>
          <w:b/>
          <w:bCs/>
          <w:iCs w:val="0"/>
          <w:color w:val="auto"/>
          <w:kern w:val="32"/>
          <w:sz w:val="24"/>
          <w:szCs w:val="24"/>
          <w:lang w:val="en-US" w:eastAsia="zh-CN" w:bidi="ar-SA"/>
        </w:rPr>
        <w:t xml:space="preserve"> Measurement</w:t>
      </w:r>
      <w:r>
        <w:rPr>
          <w:rFonts w:hint="eastAsia" w:eastAsia="宋体" w:cs="Times New Roman"/>
          <w:b/>
          <w:bCs/>
          <w:iCs w:val="0"/>
          <w:color w:val="auto"/>
          <w:kern w:val="32"/>
          <w:sz w:val="24"/>
          <w:szCs w:val="24"/>
          <w:lang w:val="en-US" w:eastAsia="zh-CN" w:bidi="ar-SA"/>
        </w:rPr>
        <w:t>/</w:t>
      </w:r>
      <w:r>
        <w:rPr>
          <w:rFonts w:hint="eastAsia" w:ascii="Helvetica" w:hAnsi="Helvetica" w:eastAsia="宋体" w:cs="Times New Roman"/>
          <w:b/>
          <w:bCs/>
          <w:iCs w:val="0"/>
          <w:color w:val="auto"/>
          <w:kern w:val="32"/>
          <w:sz w:val="24"/>
          <w:szCs w:val="24"/>
          <w:lang w:val="en-US" w:eastAsia="zh-CN" w:bidi="ar-SA"/>
        </w:rPr>
        <w:t>scheduling restrictions</w:t>
      </w:r>
    </w:p>
    <w:p>
      <w:pPr>
        <w:rPr>
          <w:rFonts w:hint="default"/>
          <w:b/>
          <w:bCs/>
          <w:u w:val="single"/>
          <w:lang w:val="en-US" w:eastAsia="zh-CN"/>
        </w:rPr>
      </w:pPr>
      <w:r>
        <w:rPr>
          <w:rFonts w:hint="eastAsia" w:eastAsia="宋体"/>
          <w:b/>
          <w:bCs/>
          <w:color w:val="auto"/>
          <w:u w:val="single"/>
          <w:lang w:val="en-US" w:eastAsia="zh-CN"/>
        </w:rPr>
        <w:t>Overlapping condition for scheduling restriction</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During last meeting, the condition of scheduling restriction was discussed and the condition at least for sDCI case were identified. Both fully overlapping PDSCHs and partial overlapping PDSCHs are considered. To our understanding, for mDCI case, since individual scheduling decision from each TRP is allowed, so it is possible that the partial overlapping between PDSCHs or non-overlapping between PDSCHs happen, as shown in three figures below.</w:t>
      </w:r>
    </w:p>
    <w:p>
      <w:pPr>
        <w:pStyle w:val="8"/>
        <w:tabs>
          <w:tab w:val="left" w:pos="226"/>
          <w:tab w:val="left" w:pos="284"/>
          <w:tab w:val="left" w:pos="5103"/>
        </w:tabs>
        <w:snapToGrid w:val="0"/>
        <w:spacing w:before="156" w:beforeLines="50"/>
        <w:jc w:val="center"/>
      </w:pPr>
      <w:r>
        <w:drawing>
          <wp:inline distT="0" distB="0" distL="114300" distR="114300">
            <wp:extent cx="2615565" cy="1988820"/>
            <wp:effectExtent l="0" t="0" r="5715"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2615565" cy="1988820"/>
                    </a:xfrm>
                    <a:prstGeom prst="rect">
                      <a:avLst/>
                    </a:prstGeom>
                    <a:noFill/>
                    <a:ln>
                      <a:noFill/>
                    </a:ln>
                  </pic:spPr>
                </pic:pic>
              </a:graphicData>
            </a:graphic>
          </wp:inline>
        </w:drawing>
      </w:r>
    </w:p>
    <w:p>
      <w:pPr>
        <w:pStyle w:val="8"/>
        <w:tabs>
          <w:tab w:val="left" w:pos="226"/>
          <w:tab w:val="left" w:pos="284"/>
          <w:tab w:val="left" w:pos="5103"/>
        </w:tabs>
        <w:snapToGrid w:val="0"/>
        <w:spacing w:before="156" w:beforeLines="50"/>
        <w:jc w:val="center"/>
      </w:pPr>
      <w:r>
        <w:rPr>
          <w:rFonts w:hint="eastAsia" w:eastAsia="宋体"/>
          <w:lang w:val="en-US" w:eastAsia="zh-CN"/>
        </w:rPr>
        <w:t>Figure 1. Case a</w:t>
      </w:r>
    </w:p>
    <w:p>
      <w:pPr>
        <w:pStyle w:val="8"/>
        <w:tabs>
          <w:tab w:val="left" w:pos="226"/>
          <w:tab w:val="left" w:pos="284"/>
          <w:tab w:val="left" w:pos="5103"/>
        </w:tabs>
        <w:snapToGrid w:val="0"/>
        <w:spacing w:before="156" w:beforeLines="50"/>
      </w:pPr>
      <w:r>
        <w:drawing>
          <wp:inline distT="0" distB="0" distL="114300" distR="114300">
            <wp:extent cx="2535555" cy="1928495"/>
            <wp:effectExtent l="0" t="0" r="9525"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2535555" cy="1928495"/>
                    </a:xfrm>
                    <a:prstGeom prst="rect">
                      <a:avLst/>
                    </a:prstGeom>
                    <a:noFill/>
                    <a:ln>
                      <a:noFill/>
                    </a:ln>
                  </pic:spPr>
                </pic:pic>
              </a:graphicData>
            </a:graphic>
          </wp:inline>
        </w:drawing>
      </w:r>
      <w:r>
        <w:rPr>
          <w:rFonts w:hint="eastAsia" w:eastAsia="宋体"/>
          <w:lang w:val="en-US" w:eastAsia="zh-CN"/>
        </w:rPr>
        <w:t xml:space="preserve">        </w:t>
      </w:r>
      <w:r>
        <w:drawing>
          <wp:inline distT="0" distB="0" distL="114300" distR="114300">
            <wp:extent cx="2525395" cy="1920875"/>
            <wp:effectExtent l="0" t="0" r="4445" b="146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2525395" cy="1920875"/>
                    </a:xfrm>
                    <a:prstGeom prst="rect">
                      <a:avLst/>
                    </a:prstGeom>
                    <a:noFill/>
                    <a:ln>
                      <a:noFill/>
                    </a:ln>
                  </pic:spPr>
                </pic:pic>
              </a:graphicData>
            </a:graphic>
          </wp:inline>
        </w:drawing>
      </w:r>
    </w:p>
    <w:p>
      <w:pPr>
        <w:pStyle w:val="8"/>
        <w:tabs>
          <w:tab w:val="left" w:pos="226"/>
          <w:tab w:val="left" w:pos="284"/>
          <w:tab w:val="left" w:pos="5103"/>
        </w:tabs>
        <w:snapToGrid w:val="0"/>
        <w:spacing w:before="156" w:beforeLines="50"/>
        <w:ind w:firstLine="1400" w:firstLineChars="700"/>
        <w:rPr>
          <w:rFonts w:hint="default" w:eastAsia="宋体"/>
          <w:lang w:val="en-US" w:eastAsia="zh-CN"/>
        </w:rPr>
      </w:pPr>
      <w:r>
        <w:rPr>
          <w:rFonts w:hint="eastAsia" w:eastAsia="宋体"/>
          <w:lang w:val="en-US" w:eastAsia="zh-CN"/>
        </w:rPr>
        <w:t>Figure 2. Case b                                    Figure 3. Case c</w:t>
      </w:r>
    </w:p>
    <w:p>
      <w:pPr>
        <w:pStyle w:val="8"/>
        <w:tabs>
          <w:tab w:val="left" w:pos="226"/>
          <w:tab w:val="left" w:pos="284"/>
          <w:tab w:val="left" w:pos="5103"/>
        </w:tabs>
        <w:snapToGrid w:val="0"/>
        <w:spacing w:before="156" w:beforeLines="50"/>
        <w:ind w:firstLine="1400" w:firstLineChars="700"/>
        <w:rPr>
          <w:rFonts w:hint="default" w:eastAsia="宋体"/>
          <w:lang w:val="en-US" w:eastAsia="zh-CN"/>
        </w:rPr>
      </w:pP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For Case a, which means partial overlapping PDSCHs are scheduled. Similarly as sDCI case, such case should be allowed to relax the scheduling restriction.</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Proposal 2: For mDCI, scheduling restriction relaxation is allowed for the case of the CSI-RS and both of the PDSCHs are on the same OFDM symbol(s), or the CSI-RS and one of the PDSCHs with different QCL typeD are on the same OFDM symbol(s) when partially overlapping PDSCHs are scheduled.</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While Case b and c show non-overlapping PDSCHs are scheduled, and CSI-RS is overlapping with the other TRP</w:t>
      </w:r>
      <w:r>
        <w:rPr>
          <w:rFonts w:hint="default" w:eastAsia="宋体"/>
          <w:color w:val="auto"/>
          <w:sz w:val="20"/>
          <w:szCs w:val="20"/>
          <w:lang w:val="en-US" w:eastAsia="zh-CN"/>
        </w:rPr>
        <w:t>’</w:t>
      </w:r>
      <w:r>
        <w:rPr>
          <w:rFonts w:hint="eastAsia" w:eastAsia="宋体"/>
          <w:color w:val="auto"/>
          <w:sz w:val="20"/>
          <w:szCs w:val="20"/>
          <w:lang w:val="en-US" w:eastAsia="zh-CN"/>
        </w:rPr>
        <w:t>s PDSCH or overlapping with both TRPs</w:t>
      </w:r>
      <w:r>
        <w:rPr>
          <w:rFonts w:hint="default" w:eastAsia="宋体"/>
          <w:color w:val="auto"/>
          <w:sz w:val="20"/>
          <w:szCs w:val="20"/>
          <w:lang w:val="en-US" w:eastAsia="zh-CN"/>
        </w:rPr>
        <w:t>’</w:t>
      </w:r>
      <w:r>
        <w:rPr>
          <w:rFonts w:hint="eastAsia" w:eastAsia="宋体"/>
          <w:color w:val="auto"/>
          <w:sz w:val="20"/>
          <w:szCs w:val="20"/>
          <w:lang w:val="en-US" w:eastAsia="zh-CN"/>
        </w:rPr>
        <w:t xml:space="preserve"> PDSCHs. But no overlapping happens between PDSCHs. The two cases probably happens under mDCI scheduling. </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To our understanding, at least Case c should be allowed to perform scheduling restriction relaxation since the overlapping between PDSCH 1 and CSI-RS 1 can guarantee UE apply same Rx beam to receive PDSCH 1 and CSI-RS 1, this Rx beam refers to one of the dual TCI states, and the other Rx beam referring to the dual TCI states is used to receive PDSCH 2. Althouth non overalpping PDSCHs are scheduled by the two TRPs, still dual TCI states are indicated for the UE. Regarding Case b, since no overlapping between PDSCH 1 and CSI-RS 1, so some company may concern UE would receive CSI-RS 1 with other Rx beam different from any of the dual TCI states, so we can keep Case b same as legacy, i.e. no measurement reatriction relaxation applied.</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Observation 1: Under mDCI, it is possible that non-overlapping PDSCHs scheduled respectively by different TRPs and dual TCI states referring to the beam pair reported in GBBR are indicated to receive the non-overlapping PDSCHs. </w:t>
      </w:r>
    </w:p>
    <w:p>
      <w:pPr>
        <w:pStyle w:val="8"/>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For mDCI, even though non-overlapping PDSCHs scheduled by different TRPs, scheduling restriction relaxation is allowed provided the CSI-RS overlapping with both PDSCHs.</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p>
    <w:p>
      <w:pPr>
        <w:rPr>
          <w:rFonts w:hint="default"/>
          <w:b/>
          <w:bCs/>
          <w:u w:val="single"/>
          <w:lang w:val="en-US" w:eastAsia="zh-CN"/>
        </w:rPr>
      </w:pPr>
      <w:r>
        <w:rPr>
          <w:rFonts w:hint="eastAsia" w:eastAsia="宋体"/>
          <w:b/>
          <w:bCs/>
          <w:color w:val="auto"/>
          <w:u w:val="single"/>
          <w:lang w:val="en-US" w:eastAsia="zh-CN"/>
        </w:rPr>
        <w:t>Overlapping condition for measurement restriction</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Regarding the condition for measurement restriction relaxation, acually no PDSCH involved in the legacy measurement restriction. While so as to ensure UE applies the Rx beams reported in the beam pair to receive the two overlapping RSs, overlapping PDSCHs are mentioned in the previous discussion. </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Similar as the analysis for the condition of scheduling restriction relaxation, the condition of measurement restriction relaxation can also be divided into sDCI and mDCI cases. For the sDCI case, the fully oberlapping PDSCHs case and partial overlapping PDSCHs case are both allowed to relax the measurement restriction provided two CSI-RS are overlapping, i.e. similar condition as the sDCI case of scheduling restriction relaxation above.</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Proposal 4: For sDCI, the measurement restriction relaxation is allowed for the case of CSI-RSs and both of the PDSCHs are on the same OFDM symbol(s), or one of the CSI-RSs and one of the PDSCHs with different QCL typeD are on the same OFDM symbol(s) when partially overlapping PDSCHs are scheduled.</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For the mDCI case, considering individual scheduling from each TRP, we have similar observation as for scheduling restriction, i.e. the Observatio 2 also exists. So not need to require two PDSCHs overlapping, any one of the PDSCH is overlapping with the two CSI-RS is fine. </w:t>
      </w:r>
    </w:p>
    <w:p>
      <w:pPr>
        <w:pStyle w:val="8"/>
        <w:tabs>
          <w:tab w:val="left" w:pos="226"/>
          <w:tab w:val="left" w:pos="284"/>
          <w:tab w:val="left" w:pos="5103"/>
        </w:tabs>
        <w:snapToGrid w:val="0"/>
        <w:spacing w:before="156" w:beforeLines="50"/>
        <w:rPr>
          <w:rFonts w:hint="eastAsia"/>
          <w:lang w:val="en-US" w:eastAsia="zh-CN"/>
        </w:rPr>
      </w:pPr>
      <w:r>
        <w:rPr>
          <w:rFonts w:hint="eastAsia" w:eastAsia="宋体" w:cs="Times New Roman"/>
          <w:b/>
          <w:bCs/>
          <w:color w:val="auto"/>
          <w:sz w:val="20"/>
          <w:szCs w:val="20"/>
          <w:highlight w:val="none"/>
          <w:lang w:val="en-US" w:eastAsia="zh-CN" w:bidi="ar-SA"/>
        </w:rPr>
        <w:t>Proposal 5: For mDCI, measurement restriction relaxation is allowed provided one of the PDSCH is overlapping with the two CSI-RS.</w:t>
      </w:r>
    </w:p>
    <w:p>
      <w:pPr>
        <w:rPr>
          <w:rFonts w:hint="eastAsia"/>
          <w:lang w:val="en-US" w:eastAsia="zh-CN"/>
        </w:rPr>
      </w:pPr>
    </w:p>
    <w:p>
      <w:pPr>
        <w:pStyle w:val="3"/>
        <w:bidi w:val="0"/>
        <w:rPr>
          <w:rFonts w:hint="default" w:ascii="Helvetica" w:hAnsi="Helvetica" w:eastAsia="宋体" w:cs="Times New Roman"/>
          <w:b/>
          <w:bCs/>
          <w:iCs w:val="0"/>
          <w:color w:val="auto"/>
          <w:kern w:val="32"/>
          <w:sz w:val="24"/>
          <w:szCs w:val="24"/>
          <w:lang w:val="en-US" w:eastAsia="zh-CN" w:bidi="ar-SA"/>
        </w:rPr>
      </w:pPr>
      <w:r>
        <w:rPr>
          <w:rFonts w:hint="eastAsia" w:ascii="Helvetica" w:hAnsi="Helvetica" w:eastAsia="宋体" w:cs="Times New Roman"/>
          <w:b/>
          <w:bCs/>
          <w:iCs w:val="0"/>
          <w:color w:val="auto"/>
          <w:kern w:val="32"/>
          <w:sz w:val="24"/>
          <w:szCs w:val="24"/>
          <w:lang w:val="en-US" w:eastAsia="zh-CN" w:bidi="ar-SA"/>
        </w:rPr>
        <w:t>2.</w:t>
      </w:r>
      <w:r>
        <w:rPr>
          <w:rFonts w:hint="eastAsia" w:eastAsia="宋体" w:cs="Times New Roman"/>
          <w:b/>
          <w:bCs/>
          <w:iCs w:val="0"/>
          <w:color w:val="auto"/>
          <w:kern w:val="32"/>
          <w:sz w:val="24"/>
          <w:szCs w:val="24"/>
          <w:lang w:val="en-US" w:eastAsia="zh-CN" w:bidi="ar-SA"/>
        </w:rPr>
        <w:t>3</w:t>
      </w:r>
      <w:r>
        <w:rPr>
          <w:rFonts w:hint="eastAsia" w:ascii="Helvetica" w:hAnsi="Helvetica" w:eastAsia="宋体" w:cs="Times New Roman"/>
          <w:b/>
          <w:bCs/>
          <w:iCs w:val="0"/>
          <w:color w:val="auto"/>
          <w:kern w:val="32"/>
          <w:sz w:val="24"/>
          <w:szCs w:val="24"/>
          <w:lang w:val="en-US" w:eastAsia="zh-CN" w:bidi="ar-SA"/>
        </w:rPr>
        <w:t xml:space="preserve"> Dual TCI state switching</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During previous meetings, the DCI based PDSCH TCI state switching, MAC CE based PDCCH TCI state switching and RRC based PDCCH TCI state switching are all discussed. We summarize the conclusion for each of them as below:</w:t>
      </w:r>
    </w:p>
    <w:p>
      <w:pPr>
        <w:pStyle w:val="8"/>
        <w:numPr>
          <w:ilvl w:val="0"/>
          <w:numId w:val="5"/>
        </w:numPr>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For DCI based PDSCH TCI state switching,</w:t>
      </w:r>
    </w:p>
    <w:p>
      <w:pPr>
        <w:pStyle w:val="8"/>
        <w:numPr>
          <w:ilvl w:val="0"/>
          <w:numId w:val="6"/>
        </w:numPr>
        <w:tabs>
          <w:tab w:val="left" w:pos="226"/>
          <w:tab w:val="left" w:pos="284"/>
          <w:tab w:val="left" w:pos="5103"/>
        </w:tabs>
        <w:snapToGrid w:val="0"/>
        <w:spacing w:before="156" w:beforeLines="50"/>
        <w:ind w:left="420" w:leftChars="0" w:hanging="420" w:firstLineChars="0"/>
        <w:rPr>
          <w:rFonts w:hint="default" w:eastAsia="宋体"/>
          <w:color w:val="auto"/>
          <w:sz w:val="20"/>
          <w:szCs w:val="20"/>
          <w:highlight w:val="green"/>
          <w:lang w:val="en-US" w:eastAsia="zh-CN"/>
        </w:rPr>
      </w:pPr>
      <w:r>
        <w:rPr>
          <w:rFonts w:hint="default" w:eastAsia="宋体"/>
          <w:color w:val="auto"/>
          <w:sz w:val="20"/>
          <w:szCs w:val="20"/>
          <w:highlight w:val="green"/>
          <w:lang w:val="en-US" w:eastAsia="zh-CN"/>
        </w:rPr>
        <w:t>Requirements for DCI based dual TCI states switch delay for PDSCH reception are defined for known case only</w:t>
      </w:r>
    </w:p>
    <w:p>
      <w:pPr>
        <w:pStyle w:val="8"/>
        <w:numPr>
          <w:ilvl w:val="0"/>
          <w:numId w:val="6"/>
        </w:numPr>
        <w:tabs>
          <w:tab w:val="left" w:pos="226"/>
          <w:tab w:val="left" w:pos="284"/>
          <w:tab w:val="left" w:pos="5103"/>
        </w:tabs>
        <w:snapToGrid w:val="0"/>
        <w:spacing w:before="156" w:beforeLines="50"/>
        <w:ind w:left="420" w:leftChars="0" w:hanging="420" w:firstLineChars="0"/>
        <w:rPr>
          <w:rFonts w:hint="default"/>
          <w:highlight w:val="green"/>
          <w:lang w:val="en-US" w:eastAsia="zh-CN"/>
        </w:rPr>
      </w:pPr>
      <w:r>
        <w:rPr>
          <w:rFonts w:hint="eastAsia" w:eastAsia="宋体"/>
          <w:color w:val="auto"/>
          <w:sz w:val="20"/>
          <w:szCs w:val="20"/>
          <w:highlight w:val="green"/>
          <w:lang w:val="en-US" w:eastAsia="zh-CN"/>
        </w:rPr>
        <w:t>For sDCI case, r</w:t>
      </w:r>
      <w:r>
        <w:rPr>
          <w:rFonts w:hint="eastAsia"/>
          <w:highlight w:val="green"/>
          <w:lang w:val="en-US" w:eastAsia="zh-CN"/>
        </w:rPr>
        <w:t>esue R16 requirements</w:t>
      </w:r>
    </w:p>
    <w:p>
      <w:pPr>
        <w:pStyle w:val="8"/>
        <w:numPr>
          <w:ilvl w:val="0"/>
          <w:numId w:val="6"/>
        </w:numPr>
        <w:tabs>
          <w:tab w:val="left" w:pos="226"/>
          <w:tab w:val="left" w:pos="284"/>
          <w:tab w:val="left" w:pos="5103"/>
        </w:tabs>
        <w:snapToGrid w:val="0"/>
        <w:spacing w:before="156" w:beforeLines="50"/>
        <w:ind w:left="420" w:leftChars="0" w:hanging="420" w:firstLineChars="0"/>
        <w:rPr>
          <w:rFonts w:hint="default" w:eastAsia="宋体"/>
          <w:color w:val="auto"/>
          <w:sz w:val="20"/>
          <w:szCs w:val="20"/>
          <w:highlight w:val="green"/>
          <w:lang w:val="en-US" w:eastAsia="zh-CN"/>
        </w:rPr>
      </w:pPr>
      <w:r>
        <w:rPr>
          <w:rFonts w:hint="eastAsia" w:eastAsia="宋体"/>
          <w:color w:val="auto"/>
          <w:sz w:val="20"/>
          <w:szCs w:val="20"/>
          <w:highlight w:val="green"/>
          <w:lang w:val="en-US" w:eastAsia="zh-CN"/>
        </w:rPr>
        <w:t>For mDCI case</w:t>
      </w:r>
    </w:p>
    <w:p>
      <w:pPr>
        <w:pStyle w:val="8"/>
        <w:numPr>
          <w:ilvl w:val="0"/>
          <w:numId w:val="7"/>
        </w:numPr>
        <w:bidi w:val="0"/>
        <w:ind w:left="840" w:leftChars="0"/>
        <w:rPr>
          <w:rFonts w:hint="default"/>
          <w:highlight w:val="green"/>
          <w:lang w:val="en-US" w:eastAsia="zh-CN"/>
        </w:rPr>
      </w:pPr>
      <w:r>
        <w:rPr>
          <w:rFonts w:hint="default"/>
          <w:highlight w:val="green"/>
          <w:lang w:val="en-US" w:eastAsia="zh-CN"/>
        </w:rPr>
        <w:t>if gap between (DCI0, PDSCH0), (DCI1, PDSCH1) is not less than timeDurationForQCL</w:t>
      </w:r>
      <w:r>
        <w:rPr>
          <w:rFonts w:hint="eastAsia"/>
          <w:highlight w:val="green"/>
          <w:lang w:val="en-US" w:eastAsia="zh-CN"/>
        </w:rPr>
        <w:t>, reuse Re-16 requirements</w:t>
      </w:r>
    </w:p>
    <w:p>
      <w:pPr>
        <w:pStyle w:val="8"/>
        <w:numPr>
          <w:ilvl w:val="0"/>
          <w:numId w:val="7"/>
        </w:numPr>
        <w:bidi w:val="0"/>
        <w:ind w:left="840" w:leftChars="0"/>
        <w:rPr>
          <w:rFonts w:hint="default"/>
          <w:highlight w:val="yellow"/>
          <w:lang w:val="en-US" w:eastAsia="zh-CN"/>
        </w:rPr>
      </w:pPr>
      <w:r>
        <w:rPr>
          <w:rFonts w:hint="eastAsia"/>
          <w:highlight w:val="yellow"/>
          <w:lang w:val="en-US" w:eastAsia="zh-CN"/>
        </w:rPr>
        <w:t>Otherwise, FFS</w:t>
      </w:r>
    </w:p>
    <w:p>
      <w:pPr>
        <w:pStyle w:val="8"/>
        <w:numPr>
          <w:ilvl w:val="0"/>
          <w:numId w:val="5"/>
        </w:numPr>
        <w:tabs>
          <w:tab w:val="left" w:pos="226"/>
          <w:tab w:val="left" w:pos="284"/>
          <w:tab w:val="left" w:pos="5103"/>
        </w:tabs>
        <w:snapToGrid w:val="0"/>
        <w:spacing w:before="156" w:beforeLines="50"/>
        <w:ind w:left="0" w:leftChars="0" w:firstLine="0" w:firstLineChars="0"/>
        <w:rPr>
          <w:rFonts w:hint="eastAsia" w:eastAsia="宋体"/>
          <w:color w:val="auto"/>
          <w:sz w:val="20"/>
          <w:szCs w:val="20"/>
          <w:lang w:val="en-US" w:eastAsia="zh-CN"/>
        </w:rPr>
      </w:pPr>
      <w:r>
        <w:rPr>
          <w:rFonts w:hint="eastAsia" w:eastAsia="宋体"/>
          <w:color w:val="auto"/>
          <w:sz w:val="20"/>
          <w:szCs w:val="20"/>
          <w:lang w:val="en-US" w:eastAsia="zh-CN"/>
        </w:rPr>
        <w:t>For MAC CE based PDCCH TCI state switching,</w:t>
      </w:r>
    </w:p>
    <w:p>
      <w:pPr>
        <w:pStyle w:val="8"/>
        <w:numPr>
          <w:ilvl w:val="0"/>
          <w:numId w:val="6"/>
        </w:numPr>
        <w:tabs>
          <w:tab w:val="left" w:pos="226"/>
          <w:tab w:val="left" w:pos="284"/>
          <w:tab w:val="left" w:pos="5103"/>
        </w:tabs>
        <w:snapToGrid w:val="0"/>
        <w:spacing w:before="156" w:beforeLines="50"/>
        <w:ind w:left="420" w:leftChars="0" w:hanging="420" w:firstLineChars="0"/>
        <w:rPr>
          <w:rFonts w:hint="default" w:eastAsia="宋体"/>
          <w:color w:val="auto"/>
          <w:sz w:val="20"/>
          <w:szCs w:val="20"/>
          <w:highlight w:val="green"/>
          <w:lang w:val="en-US" w:eastAsia="zh-CN"/>
        </w:rPr>
      </w:pPr>
      <w:r>
        <w:rPr>
          <w:rFonts w:hint="default" w:eastAsia="宋体"/>
          <w:color w:val="auto"/>
          <w:sz w:val="20"/>
          <w:szCs w:val="20"/>
          <w:highlight w:val="green"/>
          <w:lang w:val="en-US" w:eastAsia="zh-CN"/>
        </w:rPr>
        <w:t xml:space="preserve">Requirements for </w:t>
      </w:r>
      <w:r>
        <w:rPr>
          <w:rFonts w:hint="eastAsia" w:eastAsia="宋体"/>
          <w:color w:val="auto"/>
          <w:sz w:val="20"/>
          <w:szCs w:val="20"/>
          <w:highlight w:val="green"/>
          <w:lang w:val="en-US" w:eastAsia="zh-CN"/>
        </w:rPr>
        <w:t xml:space="preserve">MAC CE </w:t>
      </w:r>
      <w:r>
        <w:rPr>
          <w:rFonts w:hint="default" w:eastAsia="宋体"/>
          <w:color w:val="auto"/>
          <w:sz w:val="20"/>
          <w:szCs w:val="20"/>
          <w:highlight w:val="green"/>
          <w:lang w:val="en-US" w:eastAsia="zh-CN"/>
        </w:rPr>
        <w:t>based dual TCI states switch delay for PD</w:t>
      </w:r>
      <w:r>
        <w:rPr>
          <w:rFonts w:hint="eastAsia" w:eastAsia="宋体"/>
          <w:color w:val="auto"/>
          <w:sz w:val="20"/>
          <w:szCs w:val="20"/>
          <w:highlight w:val="green"/>
          <w:lang w:val="en-US" w:eastAsia="zh-CN"/>
        </w:rPr>
        <w:t>C</w:t>
      </w:r>
      <w:r>
        <w:rPr>
          <w:rFonts w:hint="default" w:eastAsia="宋体"/>
          <w:color w:val="auto"/>
          <w:sz w:val="20"/>
          <w:szCs w:val="20"/>
          <w:highlight w:val="green"/>
          <w:lang w:val="en-US" w:eastAsia="zh-CN"/>
        </w:rPr>
        <w:t>CH reception are defined for known case only</w:t>
      </w:r>
    </w:p>
    <w:p>
      <w:pPr>
        <w:pStyle w:val="8"/>
        <w:numPr>
          <w:ilvl w:val="0"/>
          <w:numId w:val="6"/>
        </w:numPr>
        <w:tabs>
          <w:tab w:val="left" w:pos="226"/>
          <w:tab w:val="left" w:pos="284"/>
          <w:tab w:val="left" w:pos="5103"/>
        </w:tabs>
        <w:snapToGrid w:val="0"/>
        <w:spacing w:before="156" w:beforeLines="50"/>
        <w:ind w:left="420" w:leftChars="0" w:hanging="420" w:firstLineChars="0"/>
        <w:rPr>
          <w:rFonts w:hint="default"/>
          <w:highlight w:val="green"/>
          <w:lang w:val="en-US" w:eastAsia="zh-CN"/>
        </w:rPr>
      </w:pPr>
      <w:r>
        <w:rPr>
          <w:rFonts w:hint="eastAsia" w:eastAsia="宋体"/>
          <w:color w:val="auto"/>
          <w:sz w:val="20"/>
          <w:szCs w:val="20"/>
          <w:highlight w:val="green"/>
          <w:lang w:val="en-US" w:eastAsia="zh-CN"/>
        </w:rPr>
        <w:t>For sDCI case, r</w:t>
      </w:r>
      <w:r>
        <w:rPr>
          <w:rFonts w:hint="eastAsia"/>
          <w:highlight w:val="green"/>
          <w:lang w:val="en-US" w:eastAsia="zh-CN"/>
        </w:rPr>
        <w:t>esue R16 requirements</w:t>
      </w:r>
    </w:p>
    <w:p>
      <w:pPr>
        <w:pStyle w:val="8"/>
        <w:numPr>
          <w:ilvl w:val="0"/>
          <w:numId w:val="6"/>
        </w:numPr>
        <w:tabs>
          <w:tab w:val="left" w:pos="226"/>
          <w:tab w:val="left" w:pos="284"/>
          <w:tab w:val="left" w:pos="5103"/>
        </w:tabs>
        <w:snapToGrid w:val="0"/>
        <w:spacing w:before="156" w:beforeLines="50"/>
        <w:ind w:left="420" w:leftChars="0" w:hanging="420" w:firstLineChars="0"/>
        <w:rPr>
          <w:rFonts w:hint="eastAsia" w:eastAsia="宋体"/>
          <w:color w:val="auto"/>
          <w:sz w:val="20"/>
          <w:szCs w:val="20"/>
          <w:highlight w:val="green"/>
          <w:lang w:val="en-US" w:eastAsia="zh-CN"/>
        </w:rPr>
      </w:pPr>
      <w:r>
        <w:rPr>
          <w:rFonts w:hint="eastAsia" w:eastAsia="宋体"/>
          <w:color w:val="auto"/>
          <w:sz w:val="20"/>
          <w:szCs w:val="20"/>
          <w:highlight w:val="green"/>
          <w:lang w:val="en-US" w:eastAsia="zh-CN"/>
        </w:rPr>
        <w:t xml:space="preserve">For mDCI case, </w:t>
      </w:r>
    </w:p>
    <w:p>
      <w:pPr>
        <w:pStyle w:val="8"/>
        <w:numPr>
          <w:ilvl w:val="0"/>
          <w:numId w:val="8"/>
        </w:numPr>
        <w:bidi w:val="0"/>
        <w:ind w:left="840" w:leftChars="0" w:hanging="420" w:firstLineChars="0"/>
        <w:rPr>
          <w:rFonts w:hint="eastAsia" w:eastAsia="宋体"/>
          <w:color w:val="auto"/>
          <w:sz w:val="20"/>
          <w:szCs w:val="20"/>
          <w:highlight w:val="green"/>
          <w:lang w:val="en-US" w:eastAsia="zh-CN"/>
        </w:rPr>
      </w:pPr>
      <w:r>
        <w:rPr>
          <w:rFonts w:hint="eastAsia" w:eastAsia="宋体"/>
          <w:color w:val="auto"/>
          <w:sz w:val="20"/>
          <w:szCs w:val="20"/>
          <w:highlight w:val="green"/>
          <w:lang w:val="en-US" w:eastAsia="zh-CN"/>
        </w:rPr>
        <w:t>r</w:t>
      </w:r>
      <w:r>
        <w:rPr>
          <w:rFonts w:hint="eastAsia"/>
          <w:highlight w:val="green"/>
          <w:lang w:val="en-US" w:eastAsia="zh-CN"/>
        </w:rPr>
        <w:t>esue R16 requirements</w:t>
      </w:r>
    </w:p>
    <w:p>
      <w:pPr>
        <w:pStyle w:val="8"/>
        <w:numPr>
          <w:ilvl w:val="0"/>
          <w:numId w:val="8"/>
        </w:numPr>
        <w:bidi w:val="0"/>
        <w:ind w:left="840" w:leftChars="0" w:hanging="420" w:firstLineChars="0"/>
        <w:rPr>
          <w:rFonts w:hint="eastAsia" w:eastAsia="宋体"/>
          <w:color w:val="auto"/>
          <w:sz w:val="20"/>
          <w:szCs w:val="20"/>
          <w:highlight w:val="green"/>
          <w:lang w:val="en-US" w:eastAsia="zh-CN"/>
        </w:rPr>
      </w:pPr>
      <w:r>
        <w:rPr>
          <w:rFonts w:hint="eastAsia" w:eastAsia="宋体"/>
          <w:color w:val="auto"/>
          <w:sz w:val="20"/>
          <w:szCs w:val="20"/>
          <w:highlight w:val="green"/>
          <w:lang w:val="en-US" w:eastAsia="zh-CN"/>
        </w:rPr>
        <w:t>No RRM requirement is defined for simultaneous PDCCH reception with different QCL typeD in Rel-18 multi-Rx WI.</w:t>
      </w:r>
    </w:p>
    <w:p>
      <w:pPr>
        <w:pStyle w:val="8"/>
        <w:numPr>
          <w:ilvl w:val="0"/>
          <w:numId w:val="5"/>
        </w:numPr>
        <w:tabs>
          <w:tab w:val="left" w:pos="226"/>
          <w:tab w:val="left" w:pos="284"/>
          <w:tab w:val="left" w:pos="5103"/>
        </w:tabs>
        <w:snapToGrid w:val="0"/>
        <w:spacing w:before="156" w:beforeLines="50"/>
        <w:ind w:left="0" w:leftChars="0" w:firstLine="0" w:firstLineChars="0"/>
        <w:rPr>
          <w:rFonts w:hint="default" w:eastAsia="宋体"/>
          <w:color w:val="auto"/>
          <w:sz w:val="20"/>
          <w:szCs w:val="20"/>
          <w:lang w:val="en-US" w:eastAsia="zh-CN"/>
        </w:rPr>
      </w:pPr>
      <w:r>
        <w:rPr>
          <w:rFonts w:hint="eastAsia" w:eastAsia="宋体"/>
          <w:color w:val="auto"/>
          <w:sz w:val="20"/>
          <w:szCs w:val="20"/>
          <w:lang w:val="en-US" w:eastAsia="zh-CN"/>
        </w:rPr>
        <w:t xml:space="preserve">For RRC based PDCCH TCI state switching, </w:t>
      </w:r>
    </w:p>
    <w:p>
      <w:pPr>
        <w:pStyle w:val="8"/>
        <w:numPr>
          <w:ilvl w:val="0"/>
          <w:numId w:val="6"/>
        </w:numPr>
        <w:tabs>
          <w:tab w:val="left" w:pos="226"/>
          <w:tab w:val="left" w:pos="284"/>
          <w:tab w:val="left" w:pos="5103"/>
        </w:tabs>
        <w:snapToGrid w:val="0"/>
        <w:spacing w:before="156" w:beforeLines="50"/>
        <w:ind w:left="420" w:leftChars="0" w:hanging="420" w:firstLineChars="0"/>
        <w:rPr>
          <w:rFonts w:hint="eastAsia" w:eastAsia="宋体"/>
          <w:color w:val="auto"/>
          <w:sz w:val="20"/>
          <w:szCs w:val="20"/>
          <w:highlight w:val="green"/>
          <w:lang w:val="en-US" w:eastAsia="zh-CN"/>
        </w:rPr>
      </w:pPr>
      <w:r>
        <w:rPr>
          <w:rFonts w:hint="eastAsia" w:eastAsia="宋体"/>
          <w:color w:val="auto"/>
          <w:sz w:val="20"/>
          <w:szCs w:val="20"/>
          <w:highlight w:val="green"/>
          <w:lang w:val="en-US" w:eastAsia="zh-CN"/>
        </w:rPr>
        <w:t>The requirements for multi-RX operation on RRC based PDCCH TCI state switch will be considered only if specifications support the procedure.</w:t>
      </w:r>
    </w:p>
    <w:p>
      <w:pPr>
        <w:pStyle w:val="8"/>
        <w:numPr>
          <w:ilvl w:val="0"/>
          <w:numId w:val="6"/>
        </w:numPr>
        <w:tabs>
          <w:tab w:val="left" w:pos="226"/>
          <w:tab w:val="left" w:pos="284"/>
          <w:tab w:val="left" w:pos="5103"/>
        </w:tabs>
        <w:snapToGrid w:val="0"/>
        <w:spacing w:before="156" w:beforeLines="50"/>
        <w:ind w:left="420" w:leftChars="0" w:hanging="420" w:firstLineChars="0"/>
        <w:rPr>
          <w:rFonts w:hint="eastAsia" w:eastAsia="宋体"/>
          <w:color w:val="auto"/>
          <w:sz w:val="20"/>
          <w:szCs w:val="20"/>
          <w:highlight w:val="yellow"/>
          <w:lang w:val="en-US" w:eastAsia="zh-CN"/>
        </w:rPr>
      </w:pPr>
      <w:r>
        <w:rPr>
          <w:rFonts w:hint="eastAsia" w:eastAsia="宋体"/>
          <w:color w:val="auto"/>
          <w:sz w:val="20"/>
          <w:szCs w:val="20"/>
          <w:highlight w:val="green"/>
          <w:lang w:val="en-US" w:eastAsia="zh-CN"/>
        </w:rPr>
        <w:t>Requirements for RRC based dual TCI state switch are defined.</w:t>
      </w:r>
      <w:r>
        <w:rPr>
          <w:rFonts w:hint="eastAsia" w:eastAsia="宋体"/>
          <w:color w:val="auto"/>
          <w:sz w:val="20"/>
          <w:szCs w:val="20"/>
          <w:highlight w:val="yellow"/>
          <w:lang w:val="en-US" w:eastAsia="zh-CN"/>
        </w:rPr>
        <w:t xml:space="preserve"> The exact requirements are FFS.</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So in this paper, we discuss on the remaining issues highlighted in yellow.</w:t>
      </w:r>
    </w:p>
    <w:p>
      <w:pPr>
        <w:numPr>
          <w:ilvl w:val="0"/>
          <w:numId w:val="0"/>
        </w:numPr>
        <w:ind w:leftChars="0"/>
        <w:rPr>
          <w:rFonts w:hint="default" w:ascii="Times New Roman" w:hAnsi="Times New Roman" w:eastAsia="宋体" w:cs="Times New Roman"/>
          <w:b/>
          <w:bCs/>
          <w:u w:val="single"/>
          <w:lang w:val="en-US" w:eastAsia="zh-CN"/>
        </w:rPr>
      </w:pPr>
      <w:r>
        <w:rPr>
          <w:rFonts w:hint="eastAsia" w:ascii="Times New Roman" w:hAnsi="Times New Roman" w:eastAsia="宋体" w:cs="Times New Roman"/>
          <w:b/>
          <w:bCs/>
          <w:u w:val="single"/>
          <w:lang w:val="en-US" w:eastAsia="ko-KR"/>
        </w:rPr>
        <w:t>DCI based dual TCI state switch delay for mDCI</w:t>
      </w:r>
    </w:p>
    <w:p>
      <w:pPr>
        <w:numPr>
          <w:ilvl w:val="0"/>
          <w:numId w:val="0"/>
        </w:numPr>
        <w:ind w:leftChars="0"/>
        <w:rPr>
          <w:rFonts w:hint="eastAsia"/>
          <w:lang w:val="en-US" w:eastAsia="zh-CN"/>
        </w:rPr>
      </w:pPr>
      <w:r>
        <w:rPr>
          <w:rFonts w:hint="eastAsia"/>
          <w:lang w:val="en-US" w:eastAsia="zh-CN"/>
        </w:rPr>
        <w:t xml:space="preserve">Around this issue, warm discussion happens in 109 meeting. </w:t>
      </w:r>
    </w:p>
    <w:p>
      <w:pPr>
        <w:numPr>
          <w:ilvl w:val="0"/>
          <w:numId w:val="0"/>
        </w:numPr>
        <w:ind w:leftChars="0"/>
        <w:jc w:val="center"/>
        <w:rPr>
          <w:i/>
          <w:iCs/>
          <w:color w:val="0070C0"/>
          <w:szCs w:val="24"/>
          <w:lang w:eastAsia="zh-CN"/>
        </w:rPr>
      </w:pPr>
      <w:r>
        <w:rPr>
          <w:i/>
          <w:iCs/>
          <w:color w:val="0070C0"/>
          <w:szCs w:val="24"/>
          <w:lang w:eastAsia="zh-CN"/>
        </w:rPr>
        <w:drawing>
          <wp:inline distT="0" distB="0" distL="0" distR="0">
            <wp:extent cx="4679315" cy="2037715"/>
            <wp:effectExtent l="0" t="0" r="14605" b="4445"/>
            <wp:docPr id="19" name="Picture 2" descr="A diagram of a computer pro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2" descr="A diagram of a computer program&#10;&#10;Description automatically generated with medium confidence"/>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4679315" cy="2037715"/>
                    </a:xfrm>
                    <a:prstGeom prst="rect">
                      <a:avLst/>
                    </a:prstGeom>
                  </pic:spPr>
                </pic:pic>
              </a:graphicData>
            </a:graphic>
          </wp:inline>
        </w:drawing>
      </w:r>
    </w:p>
    <w:p>
      <w:pPr>
        <w:numPr>
          <w:ilvl w:val="0"/>
          <w:numId w:val="0"/>
        </w:numPr>
        <w:ind w:leftChars="0"/>
        <w:jc w:val="center"/>
        <w:rPr>
          <w:rFonts w:hint="default"/>
          <w:lang w:val="en-US" w:eastAsia="zh-CN"/>
        </w:rPr>
      </w:pPr>
      <w:r>
        <w:rPr>
          <w:rFonts w:hint="eastAsia"/>
          <w:lang w:val="en-US" w:eastAsia="zh-CN"/>
        </w:rPr>
        <w:t>Figure 1. Timeline for mTDI based dual TCI state switching</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RAN1 has already sent LS reply to RAN4 in [9] and the in which it is identified that no restriction on the duration between point B and point C. Furthermore, during the discussion, RAN4 achieves the following common understanding: </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0"/>
              </w:numPr>
              <w:ind w:leftChars="0"/>
              <w:rPr>
                <w:rFonts w:hint="eastAsia" w:eastAsia="宋体"/>
                <w:color w:val="auto"/>
                <w:sz w:val="20"/>
                <w:szCs w:val="20"/>
                <w:vertAlign w:val="baseline"/>
                <w:lang w:val="en-US" w:eastAsia="zh-CN"/>
              </w:rPr>
            </w:pPr>
            <w:r>
              <w:rPr>
                <w:rFonts w:hint="eastAsia"/>
                <w:lang w:val="en-US" w:eastAsia="zh-CN"/>
              </w:rPr>
              <w:t>For DCI based TCI state switch, switching happens within CP and UE can receive entire timeDurationForQCL. Based on this assumption, please discuss following.</w:t>
            </w:r>
          </w:p>
        </w:tc>
      </w:tr>
    </w:tbl>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Therefore, based on RAN1 clarification and RAN4 common understanding, we believe several principles should be the prerequisite of the discussion:</w:t>
      </w:r>
    </w:p>
    <w:p>
      <w:pPr>
        <w:pStyle w:val="8"/>
        <w:numPr>
          <w:ilvl w:val="0"/>
          <w:numId w:val="9"/>
        </w:numPr>
        <w:tabs>
          <w:tab w:val="left" w:pos="226"/>
          <w:tab w:val="left" w:pos="284"/>
          <w:tab w:val="left" w:pos="5103"/>
        </w:tabs>
        <w:snapToGrid w:val="0"/>
        <w:spacing w:before="156" w:beforeLines="50"/>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P1: Since the beam switching only happens within CP, so during the whole timeDurationForQCL, UE can receive other DCI or other PDSCH with different TCI state assumption. This is the general principle.</w:t>
      </w:r>
    </w:p>
    <w:p>
      <w:pPr>
        <w:pStyle w:val="8"/>
        <w:numPr>
          <w:ilvl w:val="0"/>
          <w:numId w:val="9"/>
        </w:numPr>
        <w:tabs>
          <w:tab w:val="left" w:pos="226"/>
          <w:tab w:val="left" w:pos="284"/>
          <w:tab w:val="left" w:pos="5103"/>
        </w:tabs>
        <w:snapToGrid w:val="0"/>
        <w:spacing w:before="156" w:beforeLines="50"/>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 xml:space="preserve">P2: For the overlapping PDSCHs, which can only be received via beam pair reported through GBBR, no matter the dual TCI state switching happens in sequence or in parallel. </w:t>
      </w:r>
    </w:p>
    <w:p>
      <w:pPr>
        <w:pStyle w:val="8"/>
        <w:numPr>
          <w:ilvl w:val="0"/>
          <w:numId w:val="9"/>
        </w:numPr>
        <w:tabs>
          <w:tab w:val="left" w:pos="226"/>
          <w:tab w:val="left" w:pos="284"/>
          <w:tab w:val="left" w:pos="5103"/>
        </w:tabs>
        <w:snapToGrid w:val="0"/>
        <w:spacing w:before="156" w:beforeLines="50"/>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P3: For the non-overlapping PDSCHs, which can be received via independent beams reported through non-GBBR or beam pair reported through GBBR.</w:t>
      </w:r>
    </w:p>
    <w:p>
      <w:pPr>
        <w:pStyle w:val="8"/>
        <w:numPr>
          <w:ilvl w:val="0"/>
          <w:numId w:val="9"/>
        </w:numPr>
        <w:tabs>
          <w:tab w:val="left" w:pos="226"/>
          <w:tab w:val="left" w:pos="284"/>
          <w:tab w:val="left" w:pos="5103"/>
        </w:tabs>
        <w:snapToGrid w:val="0"/>
        <w:spacing w:before="156" w:beforeLines="50"/>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P4: When receiving DCI 0(reported through GBBR) which scheduling PDSCH 0, since unsure whether and when any overlapping PDSCH 1 would be scheduled, the behavior of TCI state switching at UE side is same as the single TCI state swithching case.</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6</w:t>
      </w:r>
      <w:bookmarkStart w:id="0" w:name="_GoBack"/>
      <w:bookmarkEnd w:id="0"/>
      <w:r>
        <w:rPr>
          <w:rFonts w:hint="eastAsia" w:eastAsia="宋体" w:cs="Times New Roman"/>
          <w:b/>
          <w:bCs/>
          <w:color w:val="auto"/>
          <w:sz w:val="20"/>
          <w:szCs w:val="20"/>
          <w:highlight w:val="none"/>
          <w:lang w:val="en-US" w:eastAsia="zh-CN" w:bidi="ar-SA"/>
        </w:rPr>
        <w:t>: Regarding the mDCI based dual TCI state switching, some principles should be considered:</w:t>
      </w:r>
    </w:p>
    <w:p>
      <w:pPr>
        <w:pStyle w:val="8"/>
        <w:tabs>
          <w:tab w:val="left" w:pos="226"/>
          <w:tab w:val="left" w:pos="284"/>
          <w:tab w:val="left" w:pos="5103"/>
        </w:tabs>
        <w:snapToGrid w:val="0"/>
        <w:spacing w:before="156" w:beforeLines="50"/>
        <w:ind w:leftChars="10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P1: Since the beam switching only happens within CP, so during the whole timeDurationForQCL, UE can receive other DCI or other PDSCH with different TCI state assumption. This is the general principle.</w:t>
      </w:r>
    </w:p>
    <w:p>
      <w:pPr>
        <w:pStyle w:val="8"/>
        <w:tabs>
          <w:tab w:val="left" w:pos="226"/>
          <w:tab w:val="left" w:pos="284"/>
          <w:tab w:val="left" w:pos="5103"/>
        </w:tabs>
        <w:snapToGrid w:val="0"/>
        <w:spacing w:before="156" w:beforeLines="50"/>
        <w:ind w:leftChars="10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 P2: For the overlapping PDSCHs, which can only be received via beam pair reported through GBBR, no matter the dual TCI state switching happens in sequence or in parallel. </w:t>
      </w:r>
    </w:p>
    <w:p>
      <w:pPr>
        <w:pStyle w:val="8"/>
        <w:tabs>
          <w:tab w:val="left" w:pos="226"/>
          <w:tab w:val="left" w:pos="284"/>
          <w:tab w:val="left" w:pos="5103"/>
        </w:tabs>
        <w:snapToGrid w:val="0"/>
        <w:spacing w:before="156" w:beforeLines="50"/>
        <w:ind w:leftChars="10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P3: For the non-overlapping PDSCHs, which can be received via independent beams reported through non-GBBR or beam pair reported through GBBR.</w:t>
      </w:r>
    </w:p>
    <w:p>
      <w:pPr>
        <w:pStyle w:val="8"/>
        <w:tabs>
          <w:tab w:val="left" w:pos="226"/>
          <w:tab w:val="left" w:pos="284"/>
          <w:tab w:val="left" w:pos="5103"/>
        </w:tabs>
        <w:snapToGrid w:val="0"/>
        <w:spacing w:before="156" w:beforeLines="50"/>
        <w:ind w:leftChars="10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P4: When receiving DCI 0(reported through GBBR) which scheduling PDSCH 0, since unsure whether and when any overlapping PDSCH 1 would be scheduled, the behavior of TCI state switching at UE side is same as the single TCI state swithching case.</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Based on these principles, with respect to the beam pair case and non beam pair case, we have suggestions as below:</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If TCI 1 and TCI 2 are a beam pair, UE to receive on TCI 1 and TCI 2 between C and D. After D, to receive on TCI 2 and TCI 4. Between C and D, UE capable of multi-Rx can receive overlapping PDSCH 0 and PDSCH 1 simultaneously.</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Otherwise, UE to receive on TCI 2 alone till D. After D, UE can receive on TCI 2 and TCI 4.</w:t>
      </w:r>
    </w:p>
    <w:p>
      <w:pPr>
        <w:pStyle w:val="8"/>
        <w:tabs>
          <w:tab w:val="left" w:pos="226"/>
          <w:tab w:val="left" w:pos="284"/>
          <w:tab w:val="left" w:pos="5103"/>
        </w:tabs>
        <w:snapToGrid w:val="0"/>
        <w:spacing w:before="156" w:beforeLines="50"/>
        <w:rPr>
          <w:b/>
          <w:color w:val="000000" w:themeColor="text1"/>
          <w:u w:val="single"/>
          <w:lang w:eastAsia="ko-KR"/>
          <w14:textFill>
            <w14:solidFill>
              <w14:schemeClr w14:val="tx1"/>
            </w14:solidFill>
          </w14:textFill>
        </w:rPr>
      </w:pPr>
      <w:r>
        <w:rPr>
          <w:rFonts w:hint="eastAsia" w:eastAsia="宋体" w:cs="Times New Roman"/>
          <w:b/>
          <w:bCs/>
          <w:color w:val="auto"/>
          <w:sz w:val="20"/>
          <w:szCs w:val="20"/>
          <w:highlight w:val="none"/>
          <w:lang w:val="en-US" w:eastAsia="zh-CN" w:bidi="ar-SA"/>
        </w:rPr>
        <w:t>Proposal 7: If TCI 1 and TCI 2 are in a beam pair, UE to receive on TCI 1 and TCI 2 between C and D. After D, to receive on TCI 2 and TCI 4. Between C and D, UE capable of multi-Rx can receive overlapping PDSCH 0 and PDSCH 1 simultaneously. Otherwise, UE to receive on TCI 2 alone till D. After D, UE can receive on TCI 2 and TCI 4.</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8"/>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xml:space="preserve">, we have the following </w:t>
      </w:r>
      <w:r>
        <w:rPr>
          <w:rFonts w:hint="eastAsia" w:eastAsia="宋体"/>
          <w:bCs/>
          <w:color w:val="auto"/>
          <w:sz w:val="20"/>
          <w:szCs w:val="20"/>
          <w:lang w:val="en-US" w:eastAsia="zh-CN"/>
        </w:rPr>
        <w:t xml:space="preserve">observation and </w:t>
      </w:r>
      <w:r>
        <w:rPr>
          <w:rFonts w:eastAsia="宋体"/>
          <w:bCs/>
          <w:color w:val="auto"/>
          <w:sz w:val="20"/>
          <w:szCs w:val="20"/>
          <w:lang w:val="en-GB" w:eastAsia="zh-CN"/>
        </w:rPr>
        <w:t>proposals</w:t>
      </w:r>
      <w:r>
        <w:rPr>
          <w:rFonts w:hint="eastAsia" w:eastAsia="宋体"/>
          <w:bCs/>
          <w:color w:val="auto"/>
          <w:sz w:val="20"/>
          <w:szCs w:val="20"/>
          <w:lang w:val="en-US" w:eastAsia="zh-CN"/>
        </w:rPr>
        <w:t xml:space="preserve"> around general RRM aspects for simultaneous DL reception from different directions</w:t>
      </w:r>
      <w:r>
        <w:rPr>
          <w:rFonts w:eastAsia="宋体"/>
          <w:bCs/>
          <w:color w:val="auto"/>
          <w:sz w:val="20"/>
          <w:szCs w:val="20"/>
          <w:lang w:val="en-GB" w:eastAsia="zh-CN"/>
        </w:rPr>
        <w:t>:</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1: For the condition of measurement restriction, similar as the condition of scheduling restriction, no need to mention </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UE is multi-Rx operation</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 xml:space="preserve"> in the spec.</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Proposal 2: For mDCI, scheduling restriction relaxation is allowed for the case of the CSI-RS and both of the PDSCHs are on the same OFDM symbol(s), or the CSI-RS and one of the PDSCHs with different QCL typeD are on the same OFDM symbol(s) when partially overlapping PDSCHs are scheduled.</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Observation 1: Under mDCI, it is possible that non-overlapping PDSCHs scheduled respectively by different TRPs and dual TCI states referring to the beam pair reported in GBBR are indicated to receive the non-overlapping PDSCHs. </w:t>
      </w:r>
    </w:p>
    <w:p>
      <w:pPr>
        <w:pStyle w:val="8"/>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For mDCI, even though non-overlapping PDSCHs scheduled by different TRPs, scheduling restriction relaxation is allowed provided the CSI-RS overlapping with both PDSCHs.</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Proposal 4: For sDCI, the measurement restriction relaxation is allowed for the case of CSI-RSs and both of the PDSCHs are on the same OFDM symbol(s), or one of the CSI-RSs and one of the PDSCHs with different QCL typeD are on the same OFDM symbol(s) when partially overlapping PDSCHs are scheduled.</w:t>
      </w:r>
    </w:p>
    <w:p>
      <w:pPr>
        <w:pStyle w:val="8"/>
        <w:tabs>
          <w:tab w:val="left" w:pos="226"/>
          <w:tab w:val="left" w:pos="284"/>
          <w:tab w:val="left" w:pos="5103"/>
        </w:tabs>
        <w:snapToGrid w:val="0"/>
        <w:spacing w:before="156" w:beforeLines="50"/>
        <w:rPr>
          <w:rFonts w:hint="eastAsia"/>
          <w:lang w:val="en-US" w:eastAsia="zh-CN"/>
        </w:rPr>
      </w:pPr>
      <w:r>
        <w:rPr>
          <w:rFonts w:hint="eastAsia" w:eastAsia="宋体" w:cs="Times New Roman"/>
          <w:b/>
          <w:bCs/>
          <w:color w:val="auto"/>
          <w:sz w:val="20"/>
          <w:szCs w:val="20"/>
          <w:highlight w:val="none"/>
          <w:lang w:val="en-US" w:eastAsia="zh-CN" w:bidi="ar-SA"/>
        </w:rPr>
        <w:t>Proposal 5: For mDCI, measurement restriction relaxation is allowed provided one of the PDSCH is overlapping with the two CSI-RS.</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6: Regarding the mDCI based dual TCI state switching, some principles should be considered:</w:t>
      </w:r>
    </w:p>
    <w:p>
      <w:pPr>
        <w:pStyle w:val="8"/>
        <w:tabs>
          <w:tab w:val="left" w:pos="226"/>
          <w:tab w:val="left" w:pos="284"/>
          <w:tab w:val="left" w:pos="5103"/>
        </w:tabs>
        <w:snapToGrid w:val="0"/>
        <w:spacing w:before="156" w:beforeLines="50"/>
        <w:ind w:leftChars="10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P1: Since the beam switching only happens within CP, so during the whole timeDurationForQCL, UE can receive other DCI or other PDSCH with different TCI state assumption. This is the general principle.</w:t>
      </w:r>
    </w:p>
    <w:p>
      <w:pPr>
        <w:pStyle w:val="8"/>
        <w:tabs>
          <w:tab w:val="left" w:pos="226"/>
          <w:tab w:val="left" w:pos="284"/>
          <w:tab w:val="left" w:pos="5103"/>
        </w:tabs>
        <w:snapToGrid w:val="0"/>
        <w:spacing w:before="156" w:beforeLines="50"/>
        <w:ind w:leftChars="10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 P2: For the overlapping PDSCHs, which can only be received via beam pair reported through GBBR, no matter the dual TCI state switching happens in sequence or in parallel. </w:t>
      </w:r>
    </w:p>
    <w:p>
      <w:pPr>
        <w:pStyle w:val="8"/>
        <w:tabs>
          <w:tab w:val="left" w:pos="226"/>
          <w:tab w:val="left" w:pos="284"/>
          <w:tab w:val="left" w:pos="5103"/>
        </w:tabs>
        <w:snapToGrid w:val="0"/>
        <w:spacing w:before="156" w:beforeLines="50"/>
        <w:ind w:leftChars="10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P3: For the non-overlapping PDSCHs, which can be received via independent beams reported through non-GBBR or beam pair reported through GBBR.</w:t>
      </w:r>
    </w:p>
    <w:p>
      <w:pPr>
        <w:pStyle w:val="8"/>
        <w:tabs>
          <w:tab w:val="left" w:pos="226"/>
          <w:tab w:val="left" w:pos="284"/>
          <w:tab w:val="left" w:pos="5103"/>
        </w:tabs>
        <w:snapToGrid w:val="0"/>
        <w:spacing w:before="156" w:beforeLines="50"/>
        <w:ind w:leftChars="10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P4: When receiving DCI 0(reported through GBBR) which scheduling PDSCH 0, since unsure whether and when any overlapping PDSCH 1 would be scheduled, the behavior of TCI state switching at UE side is same as the single TCI state swithching case.</w:t>
      </w:r>
    </w:p>
    <w:p>
      <w:pPr>
        <w:pStyle w:val="8"/>
        <w:tabs>
          <w:tab w:val="left" w:pos="226"/>
          <w:tab w:val="left" w:pos="284"/>
          <w:tab w:val="left" w:pos="5103"/>
        </w:tabs>
        <w:snapToGrid w:val="0"/>
        <w:spacing w:before="156" w:beforeLines="50"/>
        <w:rPr>
          <w:rFonts w:hint="default"/>
          <w:lang w:val="en-US"/>
        </w:rPr>
      </w:pPr>
      <w:r>
        <w:rPr>
          <w:rFonts w:hint="eastAsia" w:eastAsia="宋体" w:cs="Times New Roman"/>
          <w:b/>
          <w:bCs/>
          <w:color w:val="auto"/>
          <w:sz w:val="20"/>
          <w:szCs w:val="20"/>
          <w:highlight w:val="none"/>
          <w:lang w:val="en-US" w:eastAsia="zh-CN" w:bidi="ar-SA"/>
        </w:rPr>
        <w:t>Proposal 7: If TCI 1 and TCI 2 are in a beam pair, UE to receive on TCI 1 and TCI 2 between C and D. After D, to receive on TCI 2 and TCI 4. Between C and D, UE capable of multi-Rx can receive overlapping PDSCH 0 and PDSCH 1 simultaneously. Otherwise, UE to receive on TCI 2 alone till D. After D, UE can receive on TCI 2 and TCI 4.</w:t>
      </w:r>
      <w:r>
        <w:rPr>
          <w:rFonts w:hint="default" w:eastAsia="宋体" w:cs="Times New Roman"/>
          <w:b/>
          <w:bCs/>
          <w:color w:val="auto"/>
          <w:sz w:val="20"/>
          <w:szCs w:val="20"/>
          <w:highlight w:val="none"/>
          <w:lang w:val="en-US" w:eastAsia="zh-CN" w:bidi="ar-SA"/>
        </w:rPr>
        <w:t>’</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10"/>
        </w:numPr>
        <w:ind w:leftChars="0"/>
        <w:rPr>
          <w:rFonts w:hint="eastAsia"/>
          <w:color w:val="auto"/>
          <w:highlight w:val="none"/>
          <w:lang w:val="en-US" w:eastAsia="zh-CN"/>
        </w:rPr>
      </w:pPr>
      <w:r>
        <w:rPr>
          <w:rFonts w:hint="eastAsia"/>
          <w:color w:val="auto"/>
          <w:highlight w:val="none"/>
          <w:lang w:val="en-US" w:eastAsia="zh-CN"/>
        </w:rPr>
        <w:t xml:space="preserve">R4-2410356 </w:t>
      </w:r>
      <w:r>
        <w:rPr>
          <w:rFonts w:hint="default"/>
          <w:color w:val="auto"/>
          <w:highlight w:val="none"/>
          <w:lang w:val="en-US" w:eastAsia="zh-CN"/>
        </w:rPr>
        <w:t>“</w:t>
      </w:r>
      <w:r>
        <w:rPr>
          <w:rFonts w:hint="eastAsia"/>
          <w:color w:val="auto"/>
          <w:highlight w:val="none"/>
          <w:lang w:val="en-US" w:eastAsia="zh-CN"/>
        </w:rPr>
        <w:t>WF on core maintenance and performance part for multi-Rx WI</w:t>
      </w:r>
      <w:r>
        <w:rPr>
          <w:rFonts w:hint="default"/>
          <w:color w:val="auto"/>
          <w:highlight w:val="none"/>
          <w:lang w:val="en-US" w:eastAsia="zh-CN"/>
        </w:rPr>
        <w:t>”</w:t>
      </w:r>
      <w:r>
        <w:rPr>
          <w:rFonts w:hint="eastAsia"/>
          <w:color w:val="auto"/>
          <w:highlight w:val="none"/>
          <w:lang w:val="en-US" w:eastAsia="zh-CN"/>
        </w:rPr>
        <w:t>, RAN4#111 meeting, vivo, Ericsson.</w:t>
      </w:r>
    </w:p>
    <w:p>
      <w:pPr>
        <w:pStyle w:val="9"/>
        <w:numPr>
          <w:ilvl w:val="0"/>
          <w:numId w:val="10"/>
        </w:numPr>
        <w:ind w:leftChars="0"/>
        <w:rPr>
          <w:rFonts w:hint="eastAsia"/>
          <w:color w:val="auto"/>
          <w:highlight w:val="none"/>
          <w:lang w:val="en-US" w:eastAsia="zh-CN"/>
        </w:rPr>
      </w:pPr>
      <w:r>
        <w:rPr>
          <w:rFonts w:hint="eastAsia"/>
          <w:color w:val="auto"/>
          <w:highlight w:val="none"/>
          <w:lang w:val="en-US" w:eastAsia="zh-CN"/>
        </w:rPr>
        <w:t>TS38.331-i00.</w:t>
      </w:r>
    </w:p>
    <w:p>
      <w:pPr>
        <w:pStyle w:val="9"/>
        <w:numPr>
          <w:ilvl w:val="0"/>
          <w:numId w:val="10"/>
        </w:numPr>
        <w:ind w:leftChars="0"/>
        <w:rPr>
          <w:rFonts w:hint="default"/>
          <w:color w:val="auto"/>
          <w:highlight w:val="none"/>
          <w:lang w:val="en-US" w:eastAsia="zh-CN"/>
        </w:rPr>
      </w:pPr>
      <w:r>
        <w:rPr>
          <w:rFonts w:hint="eastAsia"/>
          <w:color w:val="auto"/>
          <w:highlight w:val="none"/>
          <w:lang w:val="en-US" w:eastAsia="zh-CN"/>
        </w:rPr>
        <w:t xml:space="preserve">R4-2303302 </w:t>
      </w:r>
      <w:r>
        <w:rPr>
          <w:rFonts w:hint="default"/>
          <w:color w:val="auto"/>
          <w:highlight w:val="none"/>
          <w:lang w:val="en-US" w:eastAsia="zh-CN"/>
        </w:rPr>
        <w:t>“WF on NR FR2 multi-Rx chain DL reception RRM requirements (part 1)”</w:t>
      </w:r>
      <w:r>
        <w:rPr>
          <w:rFonts w:hint="eastAsia"/>
          <w:color w:val="auto"/>
          <w:highlight w:val="none"/>
          <w:lang w:val="en-US" w:eastAsia="zh-CN"/>
        </w:rPr>
        <w:t>, vivo.</w:t>
      </w:r>
    </w:p>
    <w:p>
      <w:pPr>
        <w:pStyle w:val="9"/>
        <w:numPr>
          <w:ilvl w:val="0"/>
          <w:numId w:val="10"/>
        </w:numPr>
        <w:ind w:leftChars="0"/>
        <w:rPr>
          <w:rFonts w:hint="default"/>
          <w:color w:val="auto"/>
          <w:highlight w:val="none"/>
          <w:lang w:val="en-US" w:eastAsia="zh-CN"/>
        </w:rPr>
      </w:pPr>
      <w:r>
        <w:rPr>
          <w:rFonts w:hint="eastAsia"/>
          <w:color w:val="auto"/>
          <w:highlight w:val="none"/>
          <w:lang w:val="en-US" w:eastAsia="zh-CN"/>
        </w:rPr>
        <w:t xml:space="preserve">R4-2306318 </w:t>
      </w:r>
      <w:r>
        <w:rPr>
          <w:rFonts w:hint="default"/>
          <w:color w:val="auto"/>
          <w:highlight w:val="none"/>
          <w:lang w:val="en-US" w:eastAsia="zh-CN"/>
        </w:rPr>
        <w:t>“WF on NR FR2 multi-Rx chain DL reception RRM requirements (part 1)”</w:t>
      </w:r>
      <w:r>
        <w:rPr>
          <w:rFonts w:hint="eastAsia"/>
          <w:color w:val="auto"/>
          <w:highlight w:val="none"/>
          <w:lang w:val="en-US" w:eastAsia="zh-CN"/>
        </w:rPr>
        <w:t>, vivo.</w:t>
      </w:r>
    </w:p>
    <w:p>
      <w:pPr>
        <w:pStyle w:val="9"/>
        <w:numPr>
          <w:ilvl w:val="0"/>
          <w:numId w:val="10"/>
        </w:numPr>
        <w:ind w:leftChars="0"/>
        <w:rPr>
          <w:rFonts w:hint="default"/>
          <w:color w:val="auto"/>
          <w:highlight w:val="none"/>
          <w:lang w:val="en-US" w:eastAsia="zh-CN"/>
        </w:rPr>
      </w:pPr>
      <w:r>
        <w:rPr>
          <w:rFonts w:hint="eastAsia"/>
          <w:color w:val="auto"/>
          <w:highlight w:val="none"/>
          <w:lang w:val="en-US" w:eastAsia="zh-CN"/>
        </w:rPr>
        <w:t xml:space="preserve">R4-2310046 </w:t>
      </w:r>
      <w:r>
        <w:rPr>
          <w:rFonts w:hint="default"/>
          <w:color w:val="auto"/>
          <w:highlight w:val="none"/>
          <w:lang w:val="en-US" w:eastAsia="zh-CN"/>
        </w:rPr>
        <w:t>“WF on NR FR2 multi-Rx chain DL reception RRM requirements (part 1)”</w:t>
      </w:r>
      <w:r>
        <w:rPr>
          <w:rFonts w:hint="eastAsia"/>
          <w:color w:val="auto"/>
          <w:highlight w:val="none"/>
          <w:lang w:val="en-US" w:eastAsia="zh-CN"/>
        </w:rPr>
        <w:t>, vivo.</w:t>
      </w:r>
    </w:p>
    <w:p>
      <w:pPr>
        <w:pStyle w:val="9"/>
        <w:numPr>
          <w:ilvl w:val="0"/>
          <w:numId w:val="10"/>
        </w:numPr>
        <w:ind w:leftChars="0"/>
        <w:rPr>
          <w:rFonts w:hint="default"/>
          <w:color w:val="auto"/>
          <w:highlight w:val="none"/>
          <w:lang w:val="en-US" w:eastAsia="zh-CN"/>
        </w:rPr>
      </w:pPr>
      <w:r>
        <w:rPr>
          <w:rFonts w:hint="eastAsia"/>
          <w:color w:val="auto"/>
          <w:highlight w:val="none"/>
          <w:lang w:val="en-US" w:eastAsia="zh-CN"/>
        </w:rPr>
        <w:t xml:space="preserve">R4-2314477 </w:t>
      </w:r>
      <w:r>
        <w:rPr>
          <w:rFonts w:hint="default"/>
          <w:color w:val="auto"/>
          <w:highlight w:val="none"/>
          <w:lang w:val="en-US" w:eastAsia="zh-CN"/>
        </w:rPr>
        <w:t>“WF on NR FR2 multi-Rx chain DL reception RRM requirements (part 1)”</w:t>
      </w:r>
      <w:r>
        <w:rPr>
          <w:rFonts w:hint="eastAsia"/>
          <w:color w:val="auto"/>
          <w:highlight w:val="none"/>
          <w:lang w:val="en-US" w:eastAsia="zh-CN"/>
        </w:rPr>
        <w:t>, vivo.</w:t>
      </w:r>
    </w:p>
    <w:p>
      <w:pPr>
        <w:pStyle w:val="9"/>
        <w:numPr>
          <w:ilvl w:val="0"/>
          <w:numId w:val="10"/>
        </w:numPr>
        <w:ind w:leftChars="0"/>
        <w:rPr>
          <w:rFonts w:hint="default"/>
          <w:color w:val="auto"/>
          <w:highlight w:val="none"/>
          <w:lang w:val="en-US" w:eastAsia="zh-CN"/>
        </w:rPr>
      </w:pPr>
      <w:r>
        <w:rPr>
          <w:rFonts w:hint="eastAsia"/>
          <w:color w:val="auto"/>
          <w:highlight w:val="none"/>
          <w:lang w:val="en-US" w:eastAsia="zh-CN"/>
        </w:rPr>
        <w:t xml:space="preserve">R4-2317332 </w:t>
      </w:r>
      <w:r>
        <w:rPr>
          <w:rFonts w:hint="default"/>
          <w:color w:val="auto"/>
          <w:highlight w:val="none"/>
          <w:lang w:val="en-US" w:eastAsia="zh-CN"/>
        </w:rPr>
        <w:t>“WF on NR FR2 multi-Rx chain DL reception RRM requirements (part 1)”</w:t>
      </w:r>
      <w:r>
        <w:rPr>
          <w:rFonts w:hint="eastAsia"/>
          <w:color w:val="auto"/>
          <w:highlight w:val="none"/>
          <w:lang w:val="en-US" w:eastAsia="zh-CN"/>
        </w:rPr>
        <w:t>, vivo.</w:t>
      </w:r>
    </w:p>
    <w:p>
      <w:pPr>
        <w:pStyle w:val="9"/>
        <w:numPr>
          <w:ilvl w:val="0"/>
          <w:numId w:val="10"/>
        </w:numPr>
        <w:ind w:leftChars="0"/>
        <w:rPr>
          <w:rFonts w:hint="default"/>
          <w:color w:val="auto"/>
          <w:highlight w:val="none"/>
          <w:lang w:val="en-US" w:eastAsia="zh-CN"/>
        </w:rPr>
      </w:pPr>
      <w:r>
        <w:rPr>
          <w:rFonts w:hint="eastAsia"/>
          <w:color w:val="auto"/>
          <w:highlight w:val="none"/>
          <w:lang w:val="en-US" w:eastAsia="zh-CN"/>
        </w:rPr>
        <w:t xml:space="preserve">R4-2321602 </w:t>
      </w:r>
      <w:r>
        <w:rPr>
          <w:rFonts w:hint="default"/>
          <w:color w:val="auto"/>
          <w:highlight w:val="none"/>
          <w:lang w:val="en-US" w:eastAsia="zh-CN"/>
        </w:rPr>
        <w:t>“WF on NR FR2 multi-Rx chain DL reception RRM requirements (part 1)”</w:t>
      </w:r>
      <w:r>
        <w:rPr>
          <w:rFonts w:hint="eastAsia"/>
          <w:color w:val="auto"/>
          <w:highlight w:val="none"/>
          <w:lang w:val="en-US" w:eastAsia="zh-CN"/>
        </w:rPr>
        <w:t>, vivo.</w:t>
      </w:r>
    </w:p>
    <w:p>
      <w:pPr>
        <w:pStyle w:val="9"/>
        <w:numPr>
          <w:ilvl w:val="0"/>
          <w:numId w:val="10"/>
        </w:numPr>
        <w:ind w:leftChars="0"/>
        <w:rPr>
          <w:rFonts w:hint="default"/>
          <w:color w:val="auto"/>
          <w:highlight w:val="none"/>
          <w:lang w:val="en-US" w:eastAsia="zh-CN"/>
        </w:rPr>
      </w:pPr>
      <w:r>
        <w:rPr>
          <w:rFonts w:hint="eastAsia"/>
          <w:lang w:val="en-US" w:eastAsia="zh-CN"/>
        </w:rPr>
        <w:t>RAN1-2310581, Reply LS on Dual TCI state switching in mDCI, Ericsson, RAN1 #114bis.</w:t>
      </w:r>
    </w:p>
    <w:p>
      <w:pPr>
        <w:pStyle w:val="9"/>
        <w:numPr>
          <w:ilvl w:val="0"/>
          <w:numId w:val="0"/>
        </w:numPr>
        <w:ind w:leftChars="0"/>
        <w:rPr>
          <w:rFonts w:hint="eastAsia"/>
          <w:color w:val="auto"/>
          <w:highlight w:val="none"/>
          <w:lang w:val="en-US" w:eastAsia="zh-CN"/>
        </w:rPr>
      </w:pPr>
    </w:p>
    <w:p>
      <w:pPr>
        <w:pStyle w:val="9"/>
        <w:numPr>
          <w:ilvl w:val="0"/>
          <w:numId w:val="0"/>
        </w:numPr>
        <w:ind w:leftChars="0"/>
        <w:rPr>
          <w:rFonts w:hint="default"/>
          <w:color w:val="auto"/>
          <w:lang w:val="en-US" w:eastAsia="zh-CN"/>
        </w:rPr>
      </w:pPr>
    </w:p>
    <w:p>
      <w:pPr>
        <w:pStyle w:val="9"/>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C55923"/>
    <w:multiLevelType w:val="singleLevel"/>
    <w:tmpl w:val="94C55923"/>
    <w:lvl w:ilvl="0" w:tentative="0">
      <w:start w:val="1"/>
      <w:numFmt w:val="decimal"/>
      <w:suff w:val="space"/>
      <w:lvlText w:val="%1)"/>
      <w:lvlJc w:val="left"/>
    </w:lvl>
  </w:abstractNum>
  <w:abstractNum w:abstractNumId="1">
    <w:nsid w:val="A8E5EB3A"/>
    <w:multiLevelType w:val="singleLevel"/>
    <w:tmpl w:val="A8E5EB3A"/>
    <w:lvl w:ilvl="0" w:tentative="0">
      <w:start w:val="1"/>
      <w:numFmt w:val="decimal"/>
      <w:suff w:val="space"/>
      <w:lvlText w:val="[%1]"/>
      <w:lvlJc w:val="left"/>
    </w:lvl>
  </w:abstractNum>
  <w:abstractNum w:abstractNumId="2">
    <w:nsid w:val="DF3A705D"/>
    <w:multiLevelType w:val="multilevel"/>
    <w:tmpl w:val="DF3A705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rPr>
    </w:lvl>
    <w:lvl w:ilvl="2" w:tentative="0">
      <w:start w:val="1"/>
      <w:numFmt w:val="bullet"/>
      <w:lvlText w:val=""/>
      <w:lvlJc w:val="left"/>
      <w:pPr>
        <w:tabs>
          <w:tab w:val="left" w:pos="1260"/>
        </w:tabs>
        <w:ind w:left="1260" w:leftChars="0" w:hanging="420" w:firstLineChars="0"/>
      </w:pPr>
      <w:rPr>
        <w:rFonts w:hint="default"/>
      </w:rPr>
    </w:lvl>
    <w:lvl w:ilvl="3" w:tentative="0">
      <w:start w:val="1"/>
      <w:numFmt w:val="bullet"/>
      <w:lvlText w:val=""/>
      <w:lvlJc w:val="left"/>
      <w:pPr>
        <w:tabs>
          <w:tab w:val="left" w:pos="1680"/>
        </w:tabs>
        <w:ind w:left="1680" w:leftChars="0" w:hanging="420" w:firstLineChars="0"/>
      </w:pPr>
      <w:rPr>
        <w:rFonts w:hint="default"/>
      </w:rPr>
    </w:lvl>
    <w:lvl w:ilvl="4" w:tentative="0">
      <w:start w:val="1"/>
      <w:numFmt w:val="bullet"/>
      <w:lvlText w:val=""/>
      <w:lvlJc w:val="left"/>
      <w:pPr>
        <w:tabs>
          <w:tab w:val="left" w:pos="2100"/>
        </w:tabs>
        <w:ind w:left="2100" w:leftChars="0" w:hanging="420" w:firstLineChars="0"/>
      </w:pPr>
      <w:rPr>
        <w:rFonts w:hint="default"/>
      </w:rPr>
    </w:lvl>
    <w:lvl w:ilvl="5" w:tentative="0">
      <w:start w:val="1"/>
      <w:numFmt w:val="bullet"/>
      <w:lvlText w:val=""/>
      <w:lvlJc w:val="left"/>
      <w:pPr>
        <w:tabs>
          <w:tab w:val="left" w:pos="2520"/>
        </w:tabs>
        <w:ind w:left="2520" w:leftChars="0" w:hanging="420" w:firstLineChars="0"/>
      </w:pPr>
      <w:rPr>
        <w:rFonts w:hint="default"/>
      </w:rPr>
    </w:lvl>
    <w:lvl w:ilvl="6" w:tentative="0">
      <w:start w:val="1"/>
      <w:numFmt w:val="bullet"/>
      <w:lvlText w:val=""/>
      <w:lvlJc w:val="left"/>
      <w:pPr>
        <w:tabs>
          <w:tab w:val="left" w:pos="2940"/>
        </w:tabs>
        <w:ind w:left="2940" w:leftChars="0" w:hanging="420" w:firstLineChars="0"/>
      </w:pPr>
      <w:rPr>
        <w:rFonts w:hint="default"/>
      </w:rPr>
    </w:lvl>
    <w:lvl w:ilvl="7" w:tentative="0">
      <w:start w:val="1"/>
      <w:numFmt w:val="bullet"/>
      <w:lvlText w:val=""/>
      <w:lvlJc w:val="left"/>
      <w:pPr>
        <w:tabs>
          <w:tab w:val="left" w:pos="3360"/>
        </w:tabs>
        <w:ind w:left="3360" w:leftChars="0" w:hanging="420" w:firstLineChars="0"/>
      </w:pPr>
      <w:rPr>
        <w:rFonts w:hint="default"/>
      </w:rPr>
    </w:lvl>
    <w:lvl w:ilvl="8" w:tentative="0">
      <w:start w:val="1"/>
      <w:numFmt w:val="bullet"/>
      <w:lvlText w:val=""/>
      <w:lvlJc w:val="left"/>
      <w:pPr>
        <w:tabs>
          <w:tab w:val="left" w:pos="3780"/>
        </w:tabs>
        <w:ind w:left="3780" w:leftChars="0" w:hanging="420" w:firstLineChars="0"/>
      </w:pPr>
      <w:rPr>
        <w:rFonts w:hint="default"/>
      </w:rPr>
    </w:lvl>
  </w:abstractNum>
  <w:abstractNum w:abstractNumId="3">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38D4C6B2"/>
    <w:multiLevelType w:val="singleLevel"/>
    <w:tmpl w:val="38D4C6B2"/>
    <w:lvl w:ilvl="0" w:tentative="0">
      <w:start w:val="1"/>
      <w:numFmt w:val="bullet"/>
      <w:lvlText w:val=""/>
      <w:lvlJc w:val="left"/>
      <w:pPr>
        <w:tabs>
          <w:tab w:val="left" w:pos="420"/>
        </w:tabs>
        <w:ind w:left="840" w:hanging="420"/>
      </w:pPr>
      <w:rPr>
        <w:rFonts w:hint="default" w:ascii="Wingdings" w:hAnsi="Wingdings"/>
      </w:rPr>
    </w:lvl>
  </w:abstractNum>
  <w:abstractNum w:abstractNumId="5">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pStyle w:val="58"/>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7">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8">
    <w:nsid w:val="759629C8"/>
    <w:multiLevelType w:val="singleLevel"/>
    <w:tmpl w:val="759629C8"/>
    <w:lvl w:ilvl="0" w:tentative="0">
      <w:start w:val="1"/>
      <w:numFmt w:val="bullet"/>
      <w:lvlText w:val=""/>
      <w:lvlJc w:val="left"/>
      <w:pPr>
        <w:tabs>
          <w:tab w:val="left" w:pos="420"/>
        </w:tabs>
        <w:ind w:left="840" w:hanging="420"/>
      </w:pPr>
      <w:rPr>
        <w:rFonts w:hint="default" w:ascii="Wingdings" w:hAnsi="Wingdings"/>
      </w:rPr>
    </w:lvl>
  </w:abstractNum>
  <w:abstractNum w:abstractNumId="9">
    <w:nsid w:val="79A86498"/>
    <w:multiLevelType w:val="singleLevel"/>
    <w:tmpl w:val="79A86498"/>
    <w:lvl w:ilvl="0" w:tentative="0">
      <w:start w:val="1"/>
      <w:numFmt w:val="bullet"/>
      <w:lvlText w:val=""/>
      <w:lvlJc w:val="left"/>
      <w:pPr>
        <w:ind w:left="420" w:hanging="420"/>
      </w:pPr>
      <w:rPr>
        <w:rFonts w:hint="default" w:ascii="Wingdings" w:hAnsi="Wingdings"/>
      </w:rPr>
    </w:lvl>
  </w:abstractNum>
  <w:num w:numId="1">
    <w:abstractNumId w:val="7"/>
  </w:num>
  <w:num w:numId="2">
    <w:abstractNumId w:val="5"/>
  </w:num>
  <w:num w:numId="3">
    <w:abstractNumId w:val="6"/>
  </w:num>
  <w:num w:numId="4">
    <w:abstractNumId w:val="3"/>
  </w:num>
  <w:num w:numId="5">
    <w:abstractNumId w:val="0"/>
  </w:num>
  <w:num w:numId="6">
    <w:abstractNumId w:val="2"/>
  </w:num>
  <w:num w:numId="7">
    <w:abstractNumId w:val="4"/>
  </w:num>
  <w:num w:numId="8">
    <w:abstractNumId w:val="8"/>
  </w:num>
  <w:num w:numId="9">
    <w:abstractNumId w:val="9"/>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37CE"/>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2EA"/>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2E1D7E"/>
    <w:rsid w:val="016F004C"/>
    <w:rsid w:val="02122247"/>
    <w:rsid w:val="02150C3F"/>
    <w:rsid w:val="022C3A09"/>
    <w:rsid w:val="028B6A1D"/>
    <w:rsid w:val="028F1C3E"/>
    <w:rsid w:val="037D0CB3"/>
    <w:rsid w:val="03D4720A"/>
    <w:rsid w:val="03E04DEA"/>
    <w:rsid w:val="04151694"/>
    <w:rsid w:val="04654053"/>
    <w:rsid w:val="04793516"/>
    <w:rsid w:val="047A3CFF"/>
    <w:rsid w:val="04885243"/>
    <w:rsid w:val="05317828"/>
    <w:rsid w:val="05477E90"/>
    <w:rsid w:val="05BB5AB9"/>
    <w:rsid w:val="05C42923"/>
    <w:rsid w:val="05F562DB"/>
    <w:rsid w:val="06963BA6"/>
    <w:rsid w:val="06965F3C"/>
    <w:rsid w:val="07CD3CDD"/>
    <w:rsid w:val="084B363C"/>
    <w:rsid w:val="0855671D"/>
    <w:rsid w:val="085E20C5"/>
    <w:rsid w:val="089009EB"/>
    <w:rsid w:val="09716BCA"/>
    <w:rsid w:val="098C1CEA"/>
    <w:rsid w:val="09D64B23"/>
    <w:rsid w:val="09E644B8"/>
    <w:rsid w:val="0A383F61"/>
    <w:rsid w:val="0B12013A"/>
    <w:rsid w:val="0B1C5C6A"/>
    <w:rsid w:val="0B243EFB"/>
    <w:rsid w:val="0B3D3C2F"/>
    <w:rsid w:val="0B5D15B4"/>
    <w:rsid w:val="0B6204CF"/>
    <w:rsid w:val="0BAC06FA"/>
    <w:rsid w:val="0BB0429A"/>
    <w:rsid w:val="0BFF5FC6"/>
    <w:rsid w:val="0C276675"/>
    <w:rsid w:val="0C394019"/>
    <w:rsid w:val="0EC91588"/>
    <w:rsid w:val="0F6C0B73"/>
    <w:rsid w:val="0F8009F9"/>
    <w:rsid w:val="10997F43"/>
    <w:rsid w:val="10DE7BAE"/>
    <w:rsid w:val="11023BFD"/>
    <w:rsid w:val="110404BB"/>
    <w:rsid w:val="111C20F6"/>
    <w:rsid w:val="11DD2CBB"/>
    <w:rsid w:val="11ED345F"/>
    <w:rsid w:val="120774A3"/>
    <w:rsid w:val="12580C13"/>
    <w:rsid w:val="130B3696"/>
    <w:rsid w:val="14006D19"/>
    <w:rsid w:val="1414436B"/>
    <w:rsid w:val="1481754F"/>
    <w:rsid w:val="148F5721"/>
    <w:rsid w:val="14AC57CD"/>
    <w:rsid w:val="14B9644E"/>
    <w:rsid w:val="15ED3E9B"/>
    <w:rsid w:val="164514BE"/>
    <w:rsid w:val="16E8141E"/>
    <w:rsid w:val="170F06AA"/>
    <w:rsid w:val="17225508"/>
    <w:rsid w:val="17B52E39"/>
    <w:rsid w:val="180A6E32"/>
    <w:rsid w:val="183F2CD2"/>
    <w:rsid w:val="1856323E"/>
    <w:rsid w:val="188D6BB6"/>
    <w:rsid w:val="18AF55E3"/>
    <w:rsid w:val="18B1519A"/>
    <w:rsid w:val="18CD0507"/>
    <w:rsid w:val="19561039"/>
    <w:rsid w:val="195D7D48"/>
    <w:rsid w:val="19852D03"/>
    <w:rsid w:val="1A6F1A83"/>
    <w:rsid w:val="1AD01A1B"/>
    <w:rsid w:val="1B4C5221"/>
    <w:rsid w:val="1B61065A"/>
    <w:rsid w:val="1B940E5A"/>
    <w:rsid w:val="1BBF3927"/>
    <w:rsid w:val="1C0B14AE"/>
    <w:rsid w:val="1C177B08"/>
    <w:rsid w:val="1C644189"/>
    <w:rsid w:val="1C9001C6"/>
    <w:rsid w:val="1CBA2101"/>
    <w:rsid w:val="1D0573D7"/>
    <w:rsid w:val="1D153DC4"/>
    <w:rsid w:val="1D223E0B"/>
    <w:rsid w:val="1D3A54CD"/>
    <w:rsid w:val="1DF33EB1"/>
    <w:rsid w:val="1E132F88"/>
    <w:rsid w:val="1E2867E9"/>
    <w:rsid w:val="1E853F6F"/>
    <w:rsid w:val="1E9C7BCC"/>
    <w:rsid w:val="1ECC1E3C"/>
    <w:rsid w:val="1F5B4632"/>
    <w:rsid w:val="1F703DFF"/>
    <w:rsid w:val="1F7532BF"/>
    <w:rsid w:val="1F8C4589"/>
    <w:rsid w:val="1FFD4083"/>
    <w:rsid w:val="20013E13"/>
    <w:rsid w:val="20122D1B"/>
    <w:rsid w:val="202F3D4C"/>
    <w:rsid w:val="206F1E13"/>
    <w:rsid w:val="20E2786E"/>
    <w:rsid w:val="21014C39"/>
    <w:rsid w:val="21045DF0"/>
    <w:rsid w:val="21244EB1"/>
    <w:rsid w:val="213964D8"/>
    <w:rsid w:val="21595D04"/>
    <w:rsid w:val="21835807"/>
    <w:rsid w:val="21F13629"/>
    <w:rsid w:val="22AF59B6"/>
    <w:rsid w:val="2305377E"/>
    <w:rsid w:val="231A76D5"/>
    <w:rsid w:val="23BE460D"/>
    <w:rsid w:val="24122135"/>
    <w:rsid w:val="24A72551"/>
    <w:rsid w:val="24D4257E"/>
    <w:rsid w:val="24DC3855"/>
    <w:rsid w:val="24F5519F"/>
    <w:rsid w:val="25362D8A"/>
    <w:rsid w:val="2572202B"/>
    <w:rsid w:val="25AE612B"/>
    <w:rsid w:val="2605683C"/>
    <w:rsid w:val="26661176"/>
    <w:rsid w:val="26672AC5"/>
    <w:rsid w:val="26BB1419"/>
    <w:rsid w:val="27315D1D"/>
    <w:rsid w:val="27B748AA"/>
    <w:rsid w:val="27CB4CB9"/>
    <w:rsid w:val="27CC4452"/>
    <w:rsid w:val="281C2F58"/>
    <w:rsid w:val="28CD5B2D"/>
    <w:rsid w:val="292D5BF2"/>
    <w:rsid w:val="292F6239"/>
    <w:rsid w:val="29642C4B"/>
    <w:rsid w:val="29A66B9A"/>
    <w:rsid w:val="29B35277"/>
    <w:rsid w:val="2A34628C"/>
    <w:rsid w:val="2A724D05"/>
    <w:rsid w:val="2A7E505C"/>
    <w:rsid w:val="2AC85686"/>
    <w:rsid w:val="2AD04B5F"/>
    <w:rsid w:val="2B39549B"/>
    <w:rsid w:val="2BC05B2C"/>
    <w:rsid w:val="2BD617C5"/>
    <w:rsid w:val="2C112837"/>
    <w:rsid w:val="2C360608"/>
    <w:rsid w:val="2E014790"/>
    <w:rsid w:val="2EAE66A3"/>
    <w:rsid w:val="2EE77680"/>
    <w:rsid w:val="2F2F0FC8"/>
    <w:rsid w:val="2F591020"/>
    <w:rsid w:val="2F8954B7"/>
    <w:rsid w:val="2F8E63A4"/>
    <w:rsid w:val="301C6BB6"/>
    <w:rsid w:val="30723652"/>
    <w:rsid w:val="30766FB2"/>
    <w:rsid w:val="30E965CE"/>
    <w:rsid w:val="312654EA"/>
    <w:rsid w:val="31565660"/>
    <w:rsid w:val="319708F2"/>
    <w:rsid w:val="31B14C9E"/>
    <w:rsid w:val="31E00A6C"/>
    <w:rsid w:val="31FE2981"/>
    <w:rsid w:val="32545CB6"/>
    <w:rsid w:val="3366281C"/>
    <w:rsid w:val="33C522D7"/>
    <w:rsid w:val="33D97FA6"/>
    <w:rsid w:val="33F228A5"/>
    <w:rsid w:val="347C19A0"/>
    <w:rsid w:val="34807672"/>
    <w:rsid w:val="351B1E30"/>
    <w:rsid w:val="351D459F"/>
    <w:rsid w:val="358E5935"/>
    <w:rsid w:val="35B06C6A"/>
    <w:rsid w:val="36941AA2"/>
    <w:rsid w:val="36B46C09"/>
    <w:rsid w:val="36D37423"/>
    <w:rsid w:val="379D23F9"/>
    <w:rsid w:val="37E74183"/>
    <w:rsid w:val="38230E9D"/>
    <w:rsid w:val="3A185287"/>
    <w:rsid w:val="3A1F46B8"/>
    <w:rsid w:val="3A495290"/>
    <w:rsid w:val="3A692CD0"/>
    <w:rsid w:val="3B270929"/>
    <w:rsid w:val="3B3D5571"/>
    <w:rsid w:val="3B5D276F"/>
    <w:rsid w:val="3B673620"/>
    <w:rsid w:val="3B9A1F29"/>
    <w:rsid w:val="3CA83595"/>
    <w:rsid w:val="3CE4646B"/>
    <w:rsid w:val="3D5E7AA8"/>
    <w:rsid w:val="3D6F2596"/>
    <w:rsid w:val="3DB23487"/>
    <w:rsid w:val="3F5E503E"/>
    <w:rsid w:val="3FC426F8"/>
    <w:rsid w:val="405F175E"/>
    <w:rsid w:val="40737877"/>
    <w:rsid w:val="407D705A"/>
    <w:rsid w:val="40A811A8"/>
    <w:rsid w:val="40C765F3"/>
    <w:rsid w:val="41B8634B"/>
    <w:rsid w:val="41C755BE"/>
    <w:rsid w:val="42424160"/>
    <w:rsid w:val="427919DF"/>
    <w:rsid w:val="42A01CD1"/>
    <w:rsid w:val="42B16B47"/>
    <w:rsid w:val="42F869D2"/>
    <w:rsid w:val="433D4368"/>
    <w:rsid w:val="43553536"/>
    <w:rsid w:val="438A79C8"/>
    <w:rsid w:val="44972678"/>
    <w:rsid w:val="44C465F8"/>
    <w:rsid w:val="451632B9"/>
    <w:rsid w:val="45906394"/>
    <w:rsid w:val="45D40A2F"/>
    <w:rsid w:val="45F60A50"/>
    <w:rsid w:val="46142D0C"/>
    <w:rsid w:val="46151904"/>
    <w:rsid w:val="463A5AC1"/>
    <w:rsid w:val="46970A81"/>
    <w:rsid w:val="46B036BF"/>
    <w:rsid w:val="46EE1939"/>
    <w:rsid w:val="47282363"/>
    <w:rsid w:val="476B3528"/>
    <w:rsid w:val="47C726B0"/>
    <w:rsid w:val="47D47C32"/>
    <w:rsid w:val="47EC7B96"/>
    <w:rsid w:val="485C7C16"/>
    <w:rsid w:val="489C691C"/>
    <w:rsid w:val="49DC4EAC"/>
    <w:rsid w:val="49E55BC5"/>
    <w:rsid w:val="4B9C7CDF"/>
    <w:rsid w:val="4C1C63D6"/>
    <w:rsid w:val="4C864A35"/>
    <w:rsid w:val="4E015C76"/>
    <w:rsid w:val="4E1A3FA5"/>
    <w:rsid w:val="4E310026"/>
    <w:rsid w:val="4E4A2325"/>
    <w:rsid w:val="4E702749"/>
    <w:rsid w:val="4EC85323"/>
    <w:rsid w:val="4ED40418"/>
    <w:rsid w:val="4EDB3464"/>
    <w:rsid w:val="501A6C55"/>
    <w:rsid w:val="51234069"/>
    <w:rsid w:val="51B14BED"/>
    <w:rsid w:val="52526454"/>
    <w:rsid w:val="525C1CEF"/>
    <w:rsid w:val="528B5767"/>
    <w:rsid w:val="52A77D4F"/>
    <w:rsid w:val="52D33625"/>
    <w:rsid w:val="52FD1C01"/>
    <w:rsid w:val="52FD33B4"/>
    <w:rsid w:val="536E37BE"/>
    <w:rsid w:val="5372021A"/>
    <w:rsid w:val="53842339"/>
    <w:rsid w:val="53A3105E"/>
    <w:rsid w:val="53C64B93"/>
    <w:rsid w:val="53FE2659"/>
    <w:rsid w:val="548A6C60"/>
    <w:rsid w:val="54E07F19"/>
    <w:rsid w:val="551F20A6"/>
    <w:rsid w:val="55B1164D"/>
    <w:rsid w:val="55B4735E"/>
    <w:rsid w:val="55BB221D"/>
    <w:rsid w:val="56371459"/>
    <w:rsid w:val="56484633"/>
    <w:rsid w:val="569D39ED"/>
    <w:rsid w:val="574B3EB2"/>
    <w:rsid w:val="58D0053D"/>
    <w:rsid w:val="58F67DF5"/>
    <w:rsid w:val="59032417"/>
    <w:rsid w:val="59064002"/>
    <w:rsid w:val="59745E07"/>
    <w:rsid w:val="598C40A0"/>
    <w:rsid w:val="59930B2E"/>
    <w:rsid w:val="59DA647E"/>
    <w:rsid w:val="5A556E1A"/>
    <w:rsid w:val="5B9464DF"/>
    <w:rsid w:val="5C1166E3"/>
    <w:rsid w:val="5E2864D0"/>
    <w:rsid w:val="5E494511"/>
    <w:rsid w:val="5E7C0F18"/>
    <w:rsid w:val="5EB44FC0"/>
    <w:rsid w:val="5EB81F13"/>
    <w:rsid w:val="5EDA64BC"/>
    <w:rsid w:val="5F207F65"/>
    <w:rsid w:val="5F6666BE"/>
    <w:rsid w:val="5FBA395F"/>
    <w:rsid w:val="60B92183"/>
    <w:rsid w:val="60EC2CBA"/>
    <w:rsid w:val="61661B78"/>
    <w:rsid w:val="618636C8"/>
    <w:rsid w:val="61CC2D28"/>
    <w:rsid w:val="62442425"/>
    <w:rsid w:val="62DE3B93"/>
    <w:rsid w:val="630C63B9"/>
    <w:rsid w:val="63454F29"/>
    <w:rsid w:val="635902CD"/>
    <w:rsid w:val="642A3E76"/>
    <w:rsid w:val="645814EE"/>
    <w:rsid w:val="645E1DDB"/>
    <w:rsid w:val="64706BBE"/>
    <w:rsid w:val="64F2095B"/>
    <w:rsid w:val="65267327"/>
    <w:rsid w:val="65D63F94"/>
    <w:rsid w:val="66036AF7"/>
    <w:rsid w:val="66850BFA"/>
    <w:rsid w:val="67594709"/>
    <w:rsid w:val="67A858DB"/>
    <w:rsid w:val="67FE4166"/>
    <w:rsid w:val="68AD2162"/>
    <w:rsid w:val="68C401C3"/>
    <w:rsid w:val="69045D7F"/>
    <w:rsid w:val="693027BF"/>
    <w:rsid w:val="6968769B"/>
    <w:rsid w:val="696C5A1D"/>
    <w:rsid w:val="69831B57"/>
    <w:rsid w:val="698E7A9D"/>
    <w:rsid w:val="69A833BD"/>
    <w:rsid w:val="69FB3F8F"/>
    <w:rsid w:val="6A5D78D5"/>
    <w:rsid w:val="6A85354A"/>
    <w:rsid w:val="6B891BF1"/>
    <w:rsid w:val="6B915546"/>
    <w:rsid w:val="6BE46C6E"/>
    <w:rsid w:val="6C5B584F"/>
    <w:rsid w:val="6C8E0C06"/>
    <w:rsid w:val="6CD1716B"/>
    <w:rsid w:val="6D566F0F"/>
    <w:rsid w:val="6D7A1775"/>
    <w:rsid w:val="6D836F72"/>
    <w:rsid w:val="6DC2026F"/>
    <w:rsid w:val="6DDE3DAF"/>
    <w:rsid w:val="6E281030"/>
    <w:rsid w:val="6E2C7D5B"/>
    <w:rsid w:val="6E3241BE"/>
    <w:rsid w:val="6EB97A9D"/>
    <w:rsid w:val="6EC82818"/>
    <w:rsid w:val="6EF10A90"/>
    <w:rsid w:val="6F5201F8"/>
    <w:rsid w:val="6F817F3B"/>
    <w:rsid w:val="6F9621E0"/>
    <w:rsid w:val="6FC2089A"/>
    <w:rsid w:val="6FD45BF8"/>
    <w:rsid w:val="6FFF1868"/>
    <w:rsid w:val="70332195"/>
    <w:rsid w:val="710A602E"/>
    <w:rsid w:val="712150A0"/>
    <w:rsid w:val="71507435"/>
    <w:rsid w:val="715F4C2D"/>
    <w:rsid w:val="721C3FA1"/>
    <w:rsid w:val="722F78FB"/>
    <w:rsid w:val="723D67C5"/>
    <w:rsid w:val="7244013B"/>
    <w:rsid w:val="7250627B"/>
    <w:rsid w:val="72BF60CA"/>
    <w:rsid w:val="72F41282"/>
    <w:rsid w:val="733D0D32"/>
    <w:rsid w:val="73D411F1"/>
    <w:rsid w:val="74165422"/>
    <w:rsid w:val="753811DE"/>
    <w:rsid w:val="75647498"/>
    <w:rsid w:val="7566040A"/>
    <w:rsid w:val="757733D9"/>
    <w:rsid w:val="75A7114C"/>
    <w:rsid w:val="75BE67D4"/>
    <w:rsid w:val="75C2004C"/>
    <w:rsid w:val="75C759C1"/>
    <w:rsid w:val="760F5DAE"/>
    <w:rsid w:val="762D64F3"/>
    <w:rsid w:val="766B6FB4"/>
    <w:rsid w:val="767E7EFF"/>
    <w:rsid w:val="76A9299C"/>
    <w:rsid w:val="775B4604"/>
    <w:rsid w:val="77C067C3"/>
    <w:rsid w:val="77EA64D7"/>
    <w:rsid w:val="782347DB"/>
    <w:rsid w:val="78911E31"/>
    <w:rsid w:val="7922350F"/>
    <w:rsid w:val="792B5470"/>
    <w:rsid w:val="79B2715A"/>
    <w:rsid w:val="79C637D8"/>
    <w:rsid w:val="7A5712B9"/>
    <w:rsid w:val="7A9367CB"/>
    <w:rsid w:val="7AA10DE7"/>
    <w:rsid w:val="7AC912FF"/>
    <w:rsid w:val="7AD3168F"/>
    <w:rsid w:val="7AF22571"/>
    <w:rsid w:val="7B69224B"/>
    <w:rsid w:val="7BE80F25"/>
    <w:rsid w:val="7C1C35A7"/>
    <w:rsid w:val="7C45431D"/>
    <w:rsid w:val="7C952974"/>
    <w:rsid w:val="7D243E1C"/>
    <w:rsid w:val="7D3219D5"/>
    <w:rsid w:val="7D734AA7"/>
    <w:rsid w:val="7DDD0501"/>
    <w:rsid w:val="7DE51372"/>
    <w:rsid w:val="7E5E590F"/>
    <w:rsid w:val="7E935AFB"/>
    <w:rsid w:val="7F2B7B96"/>
    <w:rsid w:val="7FC90A85"/>
    <w:rsid w:val="7FD02878"/>
    <w:rsid w:val="7FF73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2"/>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49"/>
    <w:unhideWhenUsed/>
    <w:qFormat/>
    <w:uiPriority w:val="9"/>
    <w:pPr>
      <w:keepNext/>
      <w:keepLines/>
      <w:spacing w:before="260" w:after="260" w:line="416" w:lineRule="auto"/>
      <w:outlineLvl w:val="2"/>
    </w:pPr>
    <w:rPr>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29"/>
    <w:semiHidden/>
    <w:unhideWhenUsed/>
    <w:qFormat/>
    <w:uiPriority w:val="99"/>
    <w:rPr>
      <w:rFonts w:ascii="宋体" w:eastAsia="宋体"/>
      <w:sz w:val="18"/>
      <w:szCs w:val="18"/>
    </w:rPr>
  </w:style>
  <w:style w:type="paragraph" w:styleId="7">
    <w:name w:val="annotation text"/>
    <w:basedOn w:val="1"/>
    <w:semiHidden/>
    <w:unhideWhenUsed/>
    <w:qFormat/>
    <w:uiPriority w:val="0"/>
    <w:pPr>
      <w:jc w:val="left"/>
    </w:pPr>
  </w:style>
  <w:style w:type="paragraph" w:styleId="8">
    <w:name w:val="Body Text"/>
    <w:basedOn w:val="1"/>
    <w:link w:val="23"/>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6"/>
    <w:semiHidden/>
    <w:unhideWhenUsed/>
    <w:qFormat/>
    <w:uiPriority w:val="99"/>
    <w:pPr>
      <w:ind w:left="100" w:leftChars="2500"/>
    </w:pPr>
  </w:style>
  <w:style w:type="paragraph" w:styleId="12">
    <w:name w:val="Balloon Text"/>
    <w:basedOn w:val="1"/>
    <w:link w:val="27"/>
    <w:semiHidden/>
    <w:unhideWhenUsed/>
    <w:qFormat/>
    <w:uiPriority w:val="99"/>
    <w:rPr>
      <w:sz w:val="18"/>
      <w:szCs w:val="18"/>
      <w:lang w:val="zh-CN"/>
    </w:rPr>
  </w:style>
  <w:style w:type="paragraph" w:styleId="13">
    <w:name w:val="footer"/>
    <w:basedOn w:val="1"/>
    <w:link w:val="26"/>
    <w:unhideWhenUsed/>
    <w:qFormat/>
    <w:uiPriority w:val="99"/>
    <w:pPr>
      <w:tabs>
        <w:tab w:val="center" w:pos="4153"/>
        <w:tab w:val="center" w:pos="4536"/>
        <w:tab w:val="right" w:pos="8306"/>
        <w:tab w:val="right" w:pos="9072"/>
      </w:tabs>
      <w:snapToGrid w:val="0"/>
    </w:pPr>
    <w:rPr>
      <w:sz w:val="18"/>
      <w:szCs w:val="18"/>
      <w:lang w:val="zh-CN"/>
    </w:rPr>
  </w:style>
  <w:style w:type="paragraph" w:styleId="14">
    <w:name w:val="header"/>
    <w:basedOn w:val="1"/>
    <w:link w:val="24"/>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8"/>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4"/>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3"/>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6"/>
    <w:semiHidden/>
    <w:qFormat/>
    <w:uiPriority w:val="99"/>
    <w:rPr>
      <w:rFonts w:ascii="宋体" w:hAnsi="Times New Roman"/>
      <w:sz w:val="18"/>
      <w:szCs w:val="18"/>
      <w:lang w:eastAsia="en-US"/>
    </w:rPr>
  </w:style>
  <w:style w:type="paragraph" w:customStyle="1" w:styleId="30">
    <w:name w:val="B1"/>
    <w:basedOn w:val="10"/>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5"/>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1"/>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4"/>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8"/>
    <w:qFormat/>
    <w:uiPriority w:val="0"/>
  </w:style>
  <w:style w:type="character" w:customStyle="1" w:styleId="54">
    <w:name w:val="eop"/>
    <w:basedOn w:val="18"/>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7">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8">
    <w:name w:val="样式3"/>
    <w:basedOn w:val="28"/>
    <w:qFormat/>
    <w:uiPriority w:val="0"/>
    <w:pPr>
      <w:numPr>
        <w:ilvl w:val="1"/>
        <w:numId w:val="3"/>
      </w:numPr>
      <w:spacing w:after="120"/>
      <w:ind w:firstLine="0"/>
    </w:pPr>
    <w:rPr>
      <w:rFonts w:ascii="Times New Roman" w:hAnsi="Times New Roman" w:eastAsia="宋体" w:cs="Times New Roman"/>
      <w:sz w:val="20"/>
      <w:szCs w:val="24"/>
      <w:lang w:val="en-GB"/>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7</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2024-08-09T15:48:37Z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AE12E00B060A4B598356520CC3E162FF</vt:lpwstr>
  </property>
</Properties>
</file>